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E" w:rsidRDefault="00FF517E" w:rsidP="002D26ED">
      <w:pPr>
        <w:widowControl/>
        <w:shd w:val="clear" w:color="auto" w:fill="FFFFFF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881399">
        <w:rPr>
          <w:rFonts w:ascii="標楷體" w:eastAsia="標楷體" w:hAnsi="標楷體" w:cs="標楷體" w:hint="eastAsia"/>
          <w:color w:val="000000"/>
          <w:sz w:val="40"/>
          <w:szCs w:val="40"/>
        </w:rPr>
        <w:t>原住民族傳統智慧創作保護實施辦法</w:t>
      </w:r>
    </w:p>
    <w:tbl>
      <w:tblPr>
        <w:tblW w:w="0" w:type="auto"/>
        <w:tblInd w:w="-106" w:type="dxa"/>
        <w:tblLook w:val="00A0"/>
      </w:tblPr>
      <w:tblGrid>
        <w:gridCol w:w="8897"/>
      </w:tblGrid>
      <w:tr w:rsidR="00FF517E">
        <w:tc>
          <w:tcPr>
            <w:tcW w:w="8897" w:type="dxa"/>
          </w:tcPr>
          <w:p w:rsidR="00FF517E" w:rsidRPr="00BB6809" w:rsidRDefault="00FF517E" w:rsidP="00BB6809">
            <w:pPr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第一章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總則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本辦法依原住民族傳統智慧創作保護條例（以下簡稱本條例）第四條第二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項、第六條第二項及第九條第四項規定訂定之。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2"/>
              </w:numPr>
              <w:ind w:left="223" w:hanging="223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本條例所稱智慧創作之種類及內容如下：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宗教祭儀：與宗教、信仰、禮俗相關之文化活動，並得結合其他種類之文化表現形式呈現。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音樂：包括旋律、曲譜、器樂、節奏等，不以文字或其他可記錄之形式為限。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舞蹈：包括一切以肢體行為表現之韻律活動，並得結合其他種類之文化表現形式呈現。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歌曲：由人聲演唱之音樂，包括旋律、歌詞、曲譜，並得結合其他種類之文化表現形式呈現。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雕塑：結合物質材料及工藝製作之二維、三維藝術表現形式，得配合環境與功能以各種形式呈現，亦得結合環境條件如光線、聲音及自然元素，物質材料不限於傳統材料。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編織：創造織物之方式及其成果，得結合各種物質材料與工藝方法。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圖案：各種抽象、具體、實用及非實用之圖形表現。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服飾：具遮蔽或穿戴功能之衣物、配件或各種組合飾品。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民俗技藝：與社會文化生活相關之工藝、實用技術及使用之工具、工法。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其他文化成果表達。</w:t>
            </w:r>
          </w:p>
          <w:p w:rsidR="00FF517E" w:rsidRPr="00BB6809" w:rsidRDefault="00FF517E" w:rsidP="00BB6809">
            <w:pPr>
              <w:ind w:left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前項各款智慧創作之種類，申請人得擇一或合併不同種類申請登記，亦得僅</w:t>
            </w:r>
          </w:p>
          <w:p w:rsidR="00FF517E" w:rsidRPr="00BB6809" w:rsidRDefault="00FF517E" w:rsidP="00BB6809">
            <w:pPr>
              <w:ind w:left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申請登記其結合性文化成果表達中之一部。</w:t>
            </w:r>
          </w:p>
        </w:tc>
      </w:tr>
      <w:tr w:rsidR="00FF517E" w:rsidRPr="00320E43">
        <w:tc>
          <w:tcPr>
            <w:tcW w:w="8897" w:type="dxa"/>
          </w:tcPr>
          <w:p w:rsidR="00FF517E" w:rsidRPr="00BB6809" w:rsidRDefault="00FF517E" w:rsidP="00BB6809">
            <w:pPr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代表人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本條例第六條第二項之代表人，應具有原住民身分，並為申請智慧創作之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原住民族或部落成員，並由該原住民族或部落依其組織型態及習慣選派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代表人為基於其所屬原住民族或部落之利益，依本條例及本辦法之規定，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辦理與智慧創作專用權申請相關事宜之人。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2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代表人受原住民族或部落之委任，應忠實執行其職務，並盡善良管理人之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注意義務。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pStyle w:val="ListParagraph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代表人是否受有報酬及其內容，由該原住民族或部落依其組織型態及習慣</w:t>
            </w:r>
          </w:p>
          <w:p w:rsidR="00FF517E" w:rsidRPr="00BB6809" w:rsidRDefault="00FF517E" w:rsidP="00FF517E">
            <w:pPr>
              <w:pStyle w:val="ListParagraph"/>
              <w:ind w:leftChars="0" w:left="284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定之。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pStyle w:val="ListParagraph"/>
              <w:numPr>
                <w:ilvl w:val="0"/>
                <w:numId w:val="17"/>
              </w:numPr>
              <w:ind w:leftChars="0" w:left="284" w:hanging="284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代表人不能執行職務或怠於執行職務，經主管機關通知後三十日未改善</w:t>
            </w:r>
          </w:p>
          <w:p w:rsidR="00FF517E" w:rsidRPr="00BB6809" w:rsidRDefault="00FF517E" w:rsidP="00FF517E">
            <w:pPr>
              <w:pStyle w:val="ListParagraph"/>
              <w:ind w:leftChars="0" w:left="284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者，主管機關得促請選任代表人之原住民族或部落，依其組織型態及習</w:t>
            </w:r>
          </w:p>
          <w:p w:rsidR="00FF517E" w:rsidRPr="00BB6809" w:rsidRDefault="00FF517E" w:rsidP="00FF517E">
            <w:pPr>
              <w:pStyle w:val="ListParagraph"/>
              <w:ind w:leftChars="0" w:left="284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慣重新選派代表人。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申請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智慧創作之申請，由選任代表人為之。但有下列情事之一者，主管機關得</w:t>
            </w:r>
          </w:p>
          <w:p w:rsidR="00FF517E" w:rsidRPr="00BB6809" w:rsidRDefault="00FF517E" w:rsidP="00FF517E">
            <w:pPr>
              <w:ind w:left="223"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主動協調有利害關係之原住民族或部落，選任代表人提出申請：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智慧創作具有高度價值但未有原住民族或部落提出申請。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瀕臨消失或已受侵害或顯有受侵害之虞之智慧創作，而有急迫登記之必要。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得為申請人之原住民族或部落業已消失。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智慧創作之申請，應由申請人備具下列文件，向主管機關提出：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申請書。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選任代表人之身分證明、證明文件、授權書或部落會議紀錄。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智慧創作說明書，得輔以照片或視聽媒體。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必要之圖式、樣本等原件或重製品。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其他有助於說明傳統智慧創作之相關文件。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BB6809">
            <w:pPr>
              <w:numPr>
                <w:ilvl w:val="0"/>
                <w:numId w:val="17"/>
              </w:numPr>
              <w:ind w:left="223" w:hanging="223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智慧創作申請書應載明下列事項：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智慧創作之名稱、種類。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申請人及欲取得智慧創作專用權之原住民族或部落。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代表人姓名、地址。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委任代理人者，其姓名及事務所。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智慧創作內容之摘要說明。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第十一條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智慧創作說明書應載明下列事項：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智慧創作之名稱、種類。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申請人及欲取得智慧創作專用權之原住民族或部落。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智慧創作之內容，包括下列項目：</w:t>
            </w:r>
          </w:p>
          <w:p w:rsidR="00FF517E" w:rsidRPr="00BB6809" w:rsidRDefault="00FF517E" w:rsidP="00BB6809">
            <w:pPr>
              <w:ind w:left="351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（一）符合本辦法規定之特徵、範圍。</w:t>
            </w:r>
          </w:p>
          <w:p w:rsidR="00FF517E" w:rsidRPr="00BB6809" w:rsidRDefault="00FF517E" w:rsidP="00BB6809">
            <w:pPr>
              <w:ind w:left="351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（二）智慧創作之歷史意義、現存利用方式及未來發展。</w:t>
            </w:r>
          </w:p>
          <w:p w:rsidR="00FF517E" w:rsidRPr="00BB6809" w:rsidRDefault="00FF517E" w:rsidP="00BB6809">
            <w:pPr>
              <w:ind w:left="351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 xml:space="preserve">　（三）智慧創作與申請人之社會、文化關聯，包括身份關係、習俗及禁忌</w:t>
            </w:r>
          </w:p>
          <w:p w:rsidR="00FF517E" w:rsidRPr="00BB6809" w:rsidRDefault="00FF517E" w:rsidP="00FF517E">
            <w:pPr>
              <w:ind w:left="351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等。</w:t>
            </w:r>
          </w:p>
          <w:p w:rsidR="00FF517E" w:rsidRPr="00BB6809" w:rsidRDefault="00FF517E" w:rsidP="00BB6809">
            <w:pPr>
              <w:ind w:left="351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 xml:space="preserve">　（四）與智慧創作申請人社會脈絡密切相關，不宜公開之理由。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其他由主管機關指定之記載事項。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第十二條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申請智慧創作，應以每一個智慧創作提出一個申請。但屬於相同種類或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同一概念者，或結合數種類為一智慧創作成果表現者，得合併申請為單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一智慧創作。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第十三條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本辦法所定文書、文件，得以申請人族語為記載。但主管機關得要求申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請人提具翻譯或說明。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第十四條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依本條例及本辦法所定應檢附之證明文件，以原本或正本為之。</w:t>
            </w:r>
          </w:p>
          <w:p w:rsidR="00FF517E" w:rsidRPr="00BB6809" w:rsidRDefault="00FF517E" w:rsidP="00FF517E">
            <w:pPr>
              <w:ind w:leftChars="100" w:left="31680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</w:t>
            </w:r>
            <w:r w:rsidRPr="00BB6809">
              <w:rPr>
                <w:rFonts w:ascii="標楷體" w:eastAsia="標楷體" w:hAnsi="標楷體" w:cs="標楷體" w:hint="eastAsia"/>
              </w:rPr>
              <w:t>原本或正本經當事人釋明與原本或正本相同者，得以影本代之。</w:t>
            </w:r>
          </w:p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</w:t>
            </w:r>
            <w:r w:rsidRPr="00BB6809">
              <w:rPr>
                <w:rFonts w:ascii="標楷體" w:eastAsia="標楷體" w:hAnsi="標楷體" w:cs="標楷體" w:hint="eastAsia"/>
              </w:rPr>
              <w:t>原本或正本經主管機關驗證無訛後，得予發還。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第十五條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申請人之代表人之姓名或名稱、印章、住居所或營業所變更時，應檢附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證明文件向主管機關申請變更。但其變更無須以文件證明者，得免檢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附。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第十六條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申請文件之送達，以書件或物件送達主管機關之日為準。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第十七條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依本條例及本辦法指定之期間，申請人得於指定期間屆滿前，載明理由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向主管機關申請展延。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第十八條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智慧創作之申請文件不符合法定程序</w:t>
            </w:r>
            <w:bookmarkStart w:id="0" w:name="_GoBack"/>
            <w:bookmarkEnd w:id="0"/>
            <w:r w:rsidRPr="00BB6809">
              <w:rPr>
                <w:rFonts w:ascii="標楷體" w:eastAsia="標楷體" w:hAnsi="標楷體" w:cs="標楷體" w:hint="eastAsia"/>
              </w:rPr>
              <w:t>而得補正者，主管機關應通知申請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人限期補正；延誤法定或指定之期間未補正或補正仍不齊備者，應不受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理。但延誤指定期間在處分前補正者，不在此限。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申請人因天災或不可歸責於己之事由延誤法定期間者，於其原因消滅後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六十日內得以書面敘明理由向主管機關申請回復原狀。但延誤法定期間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已逾一年者，不在此限。</w:t>
            </w:r>
          </w:p>
          <w:p w:rsidR="00FF517E" w:rsidRPr="00BB6809" w:rsidRDefault="00FF517E" w:rsidP="00FF517E">
            <w:pPr>
              <w:ind w:leftChars="107" w:left="31680" w:firstLine="2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</w:t>
            </w:r>
            <w:r w:rsidRPr="00BB6809">
              <w:rPr>
                <w:rFonts w:ascii="標楷體" w:eastAsia="標楷體" w:hAnsi="標楷體" w:cs="標楷體" w:hint="eastAsia"/>
              </w:rPr>
              <w:t>第一項補正之申請，以及第二項回復原狀之申請，主管機關得主動協助</w:t>
            </w:r>
          </w:p>
          <w:p w:rsidR="00FF517E" w:rsidRPr="00BB6809" w:rsidRDefault="00FF517E" w:rsidP="00FF517E">
            <w:pPr>
              <w:ind w:leftChars="107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其為補正或回復原狀。</w:t>
            </w:r>
          </w:p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</w:t>
            </w:r>
            <w:r w:rsidRPr="00BB6809">
              <w:rPr>
                <w:rFonts w:ascii="標楷體" w:eastAsia="標楷體" w:hAnsi="標楷體" w:cs="標楷體" w:hint="eastAsia"/>
              </w:rPr>
              <w:t>依第二項規定申請回復原狀者，應敘明延誤期間之原因、消滅之事由及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年、月、日，並檢附證明文件向主管機關為之，並應同時補行期間內應</w:t>
            </w:r>
          </w:p>
          <w:p w:rsidR="00FF517E" w:rsidRPr="00BB6809" w:rsidRDefault="00FF517E" w:rsidP="00FF517E">
            <w:pPr>
              <w:ind w:leftChars="100" w:left="31680" w:firstLineChars="4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為之行為。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第十九條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有關智慧創作之申請及其他程序，得以電子方式為之，其電子方式申請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程序由主管機關定之。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第四章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審查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主管機關為審查智慧創作之申請，得遴聘（派）有關機關人員、專家學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者及原住民代表，辦理智慧創作之認定及其他法令規定事項，其中原住</w:t>
            </w:r>
          </w:p>
          <w:p w:rsidR="00FF517E" w:rsidRPr="00BB6809" w:rsidRDefault="00FF517E" w:rsidP="00FF517E">
            <w:pPr>
              <w:ind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民代表不得少於二分之一。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第二十一條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主管機關於審議智慧創作申請案時，得依申請或依職權通知申請人限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期為下列各款之行為：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至指定地點說明。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為必要之實作、補送模型或樣品。實作得以媒體紀錄形式為之。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至現場或指定地點實地勘查。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第二十二條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申請案經審議後，應備具理由作成審定書送達代表人或其代理人。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第二十三條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認定智慧創作時，應參考下列基準：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該申請認定之文化成果表達，足以表現出應認定歸屬之原住民族或部落之個性特徵，及應與該原住民族或部落之環境、文化、社會特質具有相當程度之關聯性，而足以代表其社群之特性。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應具有世代相傳之歷史性，該世代未必須有絕對之時間長度，成果表現亦無須具有不變或固定之成分。但申請之原住民族或部落，應說明申請時對於該智慧創作之管領及利用狀態。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文化成果應能以客觀之形式表現，且不以附著於特定物質或材料者為限。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前項參考基準之適用及解釋，應由主管機關就申請案件之具體事實，參酌申</w:t>
            </w:r>
          </w:p>
          <w:p w:rsidR="00FF517E" w:rsidRPr="00BB6809" w:rsidRDefault="00FF517E" w:rsidP="00FF517E">
            <w:pPr>
              <w:ind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請人所提出之申請書、說明書、必要圖樣、照片、相關文件及參與認定人員</w:t>
            </w:r>
          </w:p>
          <w:p w:rsidR="00FF517E" w:rsidRPr="00BB6809" w:rsidRDefault="00FF517E" w:rsidP="00FF517E">
            <w:pPr>
              <w:ind w:firstLineChars="3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之意見，綜合判斷之。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第二十四條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依前條認定為智慧創作，其歸屬關係超過一個原住民族或部落時，應</w:t>
            </w:r>
          </w:p>
          <w:p w:rsidR="00FF517E" w:rsidRPr="00BB6809" w:rsidRDefault="00FF517E" w:rsidP="00FF517E">
            <w:pPr>
              <w:ind w:leftChars="100" w:left="31680"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認定由該多數原住民族或部落共同取得智慧創作。若該申請認定之文</w:t>
            </w:r>
          </w:p>
          <w:p w:rsidR="00FF517E" w:rsidRPr="00BB6809" w:rsidRDefault="00FF517E" w:rsidP="00FF517E">
            <w:pPr>
              <w:ind w:leftChars="100" w:left="31680"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化成果表達，不能確定與任何個別原住民族或部落之個性特徵有相當</w:t>
            </w:r>
          </w:p>
          <w:p w:rsidR="00FF517E" w:rsidRPr="00BB6809" w:rsidRDefault="00FF517E" w:rsidP="00FF517E">
            <w:pPr>
              <w:ind w:leftChars="100" w:left="31680" w:firstLineChars="5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程度之關聯性時，應認定歸屬於全部原住民族。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第五章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登記及公告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第二十五條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不符本條例或本辦法所規定之程式而無法補正或回復原狀，或經主管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機關認定不符智慧創作之認定基準者，應為不予登記之審定。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第二十六條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經審查認定應予登記之智慧創作，應為准予登記之審定，並應公告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之。</w:t>
            </w:r>
          </w:p>
          <w:p w:rsidR="00FF517E" w:rsidRPr="00BB6809" w:rsidRDefault="00FF517E" w:rsidP="00FF517E">
            <w:pPr>
              <w:ind w:left="31680" w:hangingChars="118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  </w:t>
            </w:r>
            <w:r w:rsidRPr="00BB6809">
              <w:rPr>
                <w:rFonts w:ascii="標楷體" w:eastAsia="標楷體" w:hAnsi="標楷體" w:cs="標楷體" w:hint="eastAsia"/>
              </w:rPr>
              <w:t>經公告之智慧創作，任何人均得申請閱覽、抄錄、攝影或影印其審定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書、說明書、圖式及全部檔案資料。但主管機關依法令或職權認定應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予保密者，包括不宜公開之圖式及全部檔案資料內容，不在此限。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第二十七條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主管機關對審定登記之智慧創作，應辦理公告。前項公告，應載明下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列事項：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申請案號及申請日。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智慧創作之名稱及相關說明。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准予登記理由及其法令依據。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智慧創作專用權人名稱。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智慧創作之內容及不宜公開之理由。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智慧創作證書號數。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公告日。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第一項公告應刊登於政府公報及資訊網路。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第二十八條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智慧創作專用權人名稱依法變更時，主管機關應依職權主動協助歸屬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其權利之原住民族或部落，備具證明之相關文件，向主管機關申請專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用權人變更之登記。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第二十九條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智慧創作登記公告後，應由主管機關填具智慧創作登記簿冊，載明下</w:t>
            </w:r>
          </w:p>
          <w:p w:rsidR="00FF517E" w:rsidRPr="00BB6809" w:rsidRDefault="00FF517E" w:rsidP="00FF517E">
            <w:pPr>
              <w:ind w:firstLineChars="6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列事項：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智慧創作之名稱、種類。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智慧創作專用權人名稱。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准予登記理由及其法令依據。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智慧創作說明。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智慧創作證書號數及核發日。補發證書時，其事由及補發日。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智慧創作財產權為專屬授權時，被授權人姓名或名稱、國籍、住居所或營業所。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智慧創作財產權專屬授權契約之要點，包括地域、時間及範圍等。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授權登記之日期。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其他相關事項。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前項登記簿冊之建置，於必要時得另以資料庫方式為之。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第六章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證書及標記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經准予登記之智慧創作，應由主管機關核發智慧創作專用權證書。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第三十一條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智慧創作專用權證書，應載明下列事項：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申請案號。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智慧創作之名稱、種類。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智慧創作專用權人名稱。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智慧創作內容摘要。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智慧創作專用權證書號數。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核發日期。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</w:t>
            </w:r>
            <w:r w:rsidRPr="00BB6809">
              <w:rPr>
                <w:rFonts w:ascii="標楷體" w:eastAsia="標楷體" w:hAnsi="標楷體" w:cs="標楷體" w:hint="eastAsia"/>
              </w:rPr>
              <w:t>除前項應載明事項外，證書上並應記載「智慧創作之特徵、範圍及使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</w:t>
            </w:r>
            <w:r w:rsidRPr="00BB6809">
              <w:rPr>
                <w:rFonts w:ascii="標楷體" w:eastAsia="標楷體" w:hAnsi="標楷體" w:cs="標楷體" w:hint="eastAsia"/>
              </w:rPr>
              <w:t>用規則，應以智慧創作登記簿冊上智慧創作之說明為準」字樣。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第三十二條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登記事項變更，致證書內容應予修改者，主管機關應核發新證書。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第三十三條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智慧創作專用權證書滅失、遺失或毀損致不堪使用者，智慧創作專用</w:t>
            </w:r>
          </w:p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  </w:t>
            </w:r>
            <w:r w:rsidRPr="00BB6809">
              <w:rPr>
                <w:rFonts w:ascii="標楷體" w:eastAsia="標楷體" w:hAnsi="標楷體" w:cs="標楷體" w:hint="eastAsia"/>
              </w:rPr>
              <w:t>權人應以書面敘明理由，申請補發或換發。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第三十四條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智慧創作經准予登記時，主管機關應依職權授與智慧創作專用權認證</w:t>
            </w:r>
          </w:p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  </w:t>
            </w:r>
            <w:r w:rsidRPr="00BB6809">
              <w:rPr>
                <w:rFonts w:ascii="標楷體" w:eastAsia="標楷體" w:hAnsi="標楷體" w:cs="標楷體" w:hint="eastAsia"/>
              </w:rPr>
              <w:t>標記。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第七章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註銷、撤銷或廢止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第三十五條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有下列情事之一時，主管機關得註銷智慧創作專用權證書：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經行政或司法爭訟程序，智慧創作專用權經撤銷確定。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智慧創作專用權依法認定應歸屬於其他智慧創作專用權人，或應與其他智慧創作專用權人共有。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證書申請人經證實非屬於真正智慧創作專用權人。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證書之其他內容與事實不符而不能依法補正。</w:t>
            </w:r>
          </w:p>
          <w:p w:rsidR="00FF517E" w:rsidRPr="00BB6809" w:rsidRDefault="00FF517E" w:rsidP="00BB6809">
            <w:pPr>
              <w:ind w:left="238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前項註銷，應公告之。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第三十六條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經主管機關核發認證標記者，有下列情形之一時，主管機關得撤銷或</w:t>
            </w:r>
          </w:p>
          <w:p w:rsidR="00FF517E" w:rsidRPr="00BB6809" w:rsidRDefault="00FF517E" w:rsidP="00BB6809">
            <w:pPr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/>
              </w:rPr>
              <w:t xml:space="preserve">            </w:t>
            </w:r>
            <w:r w:rsidRPr="00BB6809">
              <w:rPr>
                <w:rFonts w:ascii="標楷體" w:eastAsia="標楷體" w:hAnsi="標楷體" w:cs="標楷體" w:hint="eastAsia"/>
              </w:rPr>
              <w:t>廢止其認證標記：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有前條專用權證書經註銷之情事。</w:t>
            </w:r>
          </w:p>
          <w:p w:rsidR="00FF517E" w:rsidRPr="00BB6809" w:rsidRDefault="00FF517E" w:rsidP="00BB6809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其他不應授與而授與認證標記之情事。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center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第八章</w:t>
            </w:r>
            <w:r w:rsidRPr="00BB6809">
              <w:rPr>
                <w:rFonts w:ascii="標楷體" w:eastAsia="標楷體" w:hAnsi="標楷體" w:cs="標楷體"/>
              </w:rPr>
              <w:t xml:space="preserve">    </w:t>
            </w:r>
            <w:r w:rsidRPr="00BB6809">
              <w:rPr>
                <w:rFonts w:ascii="標楷體" w:eastAsia="標楷體" w:hAnsi="標楷體" w:cs="標楷體" w:hint="eastAsia"/>
              </w:rPr>
              <w:t>附則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第三十七條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本辦法有關書表格式及作業手冊，由主管機關定之。</w:t>
            </w:r>
          </w:p>
        </w:tc>
      </w:tr>
      <w:tr w:rsidR="00FF517E">
        <w:tc>
          <w:tcPr>
            <w:tcW w:w="8897" w:type="dxa"/>
          </w:tcPr>
          <w:p w:rsidR="00FF517E" w:rsidRPr="00BB6809" w:rsidRDefault="00FF517E" w:rsidP="00FF517E">
            <w:pPr>
              <w:ind w:left="31680" w:hangingChars="100" w:firstLine="31680"/>
              <w:jc w:val="both"/>
              <w:rPr>
                <w:rFonts w:ascii="標楷體" w:eastAsia="標楷體" w:hAnsi="標楷體" w:cs="Times New Roman"/>
              </w:rPr>
            </w:pPr>
            <w:r w:rsidRPr="00BB6809">
              <w:rPr>
                <w:rFonts w:ascii="標楷體" w:eastAsia="標楷體" w:hAnsi="標楷體" w:cs="標楷體" w:hint="eastAsia"/>
              </w:rPr>
              <w:t>第三十八條</w:t>
            </w:r>
            <w:r w:rsidRPr="00BB6809">
              <w:rPr>
                <w:rFonts w:ascii="標楷體" w:eastAsia="標楷體" w:hAnsi="標楷體" w:cs="標楷體"/>
              </w:rPr>
              <w:t xml:space="preserve">  </w:t>
            </w:r>
            <w:r w:rsidRPr="00BB6809">
              <w:rPr>
                <w:rFonts w:ascii="標楷體" w:eastAsia="標楷體" w:hAnsi="標楷體" w:cs="標楷體" w:hint="eastAsia"/>
              </w:rPr>
              <w:t>本辦法自中華民國一百零四年三月一日起施行。</w:t>
            </w:r>
          </w:p>
        </w:tc>
      </w:tr>
    </w:tbl>
    <w:p w:rsidR="00FF517E" w:rsidRPr="00F2364D" w:rsidRDefault="00FF517E" w:rsidP="00190231">
      <w:pPr>
        <w:widowControl/>
        <w:shd w:val="clear" w:color="auto" w:fill="FFFFFF"/>
        <w:spacing w:line="42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</w:p>
    <w:sectPr w:rsidR="00FF517E" w:rsidRPr="00F2364D" w:rsidSect="00881399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7E" w:rsidRDefault="00FF517E">
      <w:pPr>
        <w:rPr>
          <w:rFonts w:cs="Times New Roman"/>
        </w:rPr>
      </w:pPr>
    </w:p>
  </w:endnote>
  <w:endnote w:type="continuationSeparator" w:id="0">
    <w:p w:rsidR="00FF517E" w:rsidRDefault="00FF517E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7E" w:rsidRDefault="00FF517E">
    <w:pPr>
      <w:pStyle w:val="Footer"/>
      <w:jc w:val="center"/>
      <w:rPr>
        <w:rFonts w:cs="Times New Roman"/>
      </w:rPr>
    </w:pPr>
    <w:fldSimple w:instr=" PAGE   \* MERGEFORMAT ">
      <w:r w:rsidRPr="00E01259">
        <w:rPr>
          <w:noProof/>
          <w:lang w:val="zh-TW"/>
        </w:rPr>
        <w:t>1</w:t>
      </w:r>
    </w:fldSimple>
  </w:p>
  <w:p w:rsidR="00FF517E" w:rsidRDefault="00FF517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7E" w:rsidRDefault="00FF517E">
      <w:pPr>
        <w:rPr>
          <w:rFonts w:cs="Times New Roman"/>
        </w:rPr>
      </w:pPr>
    </w:p>
  </w:footnote>
  <w:footnote w:type="continuationSeparator" w:id="0">
    <w:p w:rsidR="00FF517E" w:rsidRDefault="00FF517E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5A"/>
    <w:multiLevelType w:val="hybridMultilevel"/>
    <w:tmpl w:val="283857F4"/>
    <w:lvl w:ilvl="0" w:tplc="1FBA6AB4">
      <w:start w:val="1"/>
      <w:numFmt w:val="taiwaneseCountingThousand"/>
      <w:lvlText w:val="%1、"/>
      <w:lvlJc w:val="left"/>
      <w:pPr>
        <w:ind w:left="83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>
      <w:start w:val="1"/>
      <w:numFmt w:val="lowerRoman"/>
      <w:lvlText w:val="%3."/>
      <w:lvlJc w:val="right"/>
      <w:pPr>
        <w:ind w:left="1791" w:hanging="480"/>
      </w:pPr>
    </w:lvl>
    <w:lvl w:ilvl="3" w:tplc="0409000F">
      <w:start w:val="1"/>
      <w:numFmt w:val="decimal"/>
      <w:lvlText w:val="%4."/>
      <w:lvlJc w:val="left"/>
      <w:pPr>
        <w:ind w:left="2271" w:hanging="480"/>
      </w:pPr>
    </w:lvl>
    <w:lvl w:ilvl="4" w:tplc="04090019">
      <w:start w:val="1"/>
      <w:numFmt w:val="ideographTraditional"/>
      <w:lvlText w:val="%5、"/>
      <w:lvlJc w:val="left"/>
      <w:pPr>
        <w:ind w:left="2751" w:hanging="480"/>
      </w:pPr>
    </w:lvl>
    <w:lvl w:ilvl="5" w:tplc="0409001B">
      <w:start w:val="1"/>
      <w:numFmt w:val="lowerRoman"/>
      <w:lvlText w:val="%6."/>
      <w:lvlJc w:val="right"/>
      <w:pPr>
        <w:ind w:left="3231" w:hanging="480"/>
      </w:pPr>
    </w:lvl>
    <w:lvl w:ilvl="6" w:tplc="0409000F">
      <w:start w:val="1"/>
      <w:numFmt w:val="decimal"/>
      <w:lvlText w:val="%7."/>
      <w:lvlJc w:val="left"/>
      <w:pPr>
        <w:ind w:left="3711" w:hanging="480"/>
      </w:pPr>
    </w:lvl>
    <w:lvl w:ilvl="7" w:tplc="04090019">
      <w:start w:val="1"/>
      <w:numFmt w:val="ideographTraditional"/>
      <w:lvlText w:val="%8、"/>
      <w:lvlJc w:val="left"/>
      <w:pPr>
        <w:ind w:left="4191" w:hanging="480"/>
      </w:pPr>
    </w:lvl>
    <w:lvl w:ilvl="8" w:tplc="0409001B">
      <w:start w:val="1"/>
      <w:numFmt w:val="lowerRoman"/>
      <w:lvlText w:val="%9."/>
      <w:lvlJc w:val="right"/>
      <w:pPr>
        <w:ind w:left="4671" w:hanging="480"/>
      </w:pPr>
    </w:lvl>
  </w:abstractNum>
  <w:abstractNum w:abstractNumId="1">
    <w:nsid w:val="022E42B4"/>
    <w:multiLevelType w:val="hybridMultilevel"/>
    <w:tmpl w:val="7730D4A2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3C30943"/>
    <w:multiLevelType w:val="hybridMultilevel"/>
    <w:tmpl w:val="DC3A2FBE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3" w:hanging="480"/>
      </w:pPr>
    </w:lvl>
    <w:lvl w:ilvl="2" w:tplc="0409001B">
      <w:start w:val="1"/>
      <w:numFmt w:val="lowerRoman"/>
      <w:lvlText w:val="%3."/>
      <w:lvlJc w:val="right"/>
      <w:pPr>
        <w:ind w:left="1663" w:hanging="480"/>
      </w:pPr>
    </w:lvl>
    <w:lvl w:ilvl="3" w:tplc="0409000F">
      <w:start w:val="1"/>
      <w:numFmt w:val="decimal"/>
      <w:lvlText w:val="%4."/>
      <w:lvlJc w:val="left"/>
      <w:pPr>
        <w:ind w:left="2143" w:hanging="480"/>
      </w:pPr>
    </w:lvl>
    <w:lvl w:ilvl="4" w:tplc="04090019">
      <w:start w:val="1"/>
      <w:numFmt w:val="ideographTraditional"/>
      <w:lvlText w:val="%5、"/>
      <w:lvlJc w:val="left"/>
      <w:pPr>
        <w:ind w:left="2623" w:hanging="480"/>
      </w:pPr>
    </w:lvl>
    <w:lvl w:ilvl="5" w:tplc="0409001B">
      <w:start w:val="1"/>
      <w:numFmt w:val="lowerRoman"/>
      <w:lvlText w:val="%6."/>
      <w:lvlJc w:val="right"/>
      <w:pPr>
        <w:ind w:left="3103" w:hanging="480"/>
      </w:pPr>
    </w:lvl>
    <w:lvl w:ilvl="6" w:tplc="0409000F">
      <w:start w:val="1"/>
      <w:numFmt w:val="decimal"/>
      <w:lvlText w:val="%7."/>
      <w:lvlJc w:val="left"/>
      <w:pPr>
        <w:ind w:left="3583" w:hanging="480"/>
      </w:pPr>
    </w:lvl>
    <w:lvl w:ilvl="7" w:tplc="04090019">
      <w:start w:val="1"/>
      <w:numFmt w:val="ideographTraditional"/>
      <w:lvlText w:val="%8、"/>
      <w:lvlJc w:val="left"/>
      <w:pPr>
        <w:ind w:left="4063" w:hanging="480"/>
      </w:pPr>
    </w:lvl>
    <w:lvl w:ilvl="8" w:tplc="0409001B">
      <w:start w:val="1"/>
      <w:numFmt w:val="lowerRoman"/>
      <w:lvlText w:val="%9."/>
      <w:lvlJc w:val="right"/>
      <w:pPr>
        <w:ind w:left="4543" w:hanging="480"/>
      </w:pPr>
    </w:lvl>
  </w:abstractNum>
  <w:abstractNum w:abstractNumId="3">
    <w:nsid w:val="08332E24"/>
    <w:multiLevelType w:val="hybridMultilevel"/>
    <w:tmpl w:val="BAB2B23A"/>
    <w:lvl w:ilvl="0" w:tplc="04090015">
      <w:start w:val="1"/>
      <w:numFmt w:val="taiwaneseCountingThousand"/>
      <w:lvlText w:val="%1、"/>
      <w:lvlJc w:val="left"/>
      <w:pPr>
        <w:ind w:left="703" w:hanging="480"/>
      </w:pPr>
    </w:lvl>
    <w:lvl w:ilvl="1" w:tplc="04090019">
      <w:start w:val="1"/>
      <w:numFmt w:val="ideographTraditional"/>
      <w:lvlText w:val="%2、"/>
      <w:lvlJc w:val="left"/>
      <w:pPr>
        <w:ind w:left="1183" w:hanging="480"/>
      </w:pPr>
    </w:lvl>
    <w:lvl w:ilvl="2" w:tplc="0409001B">
      <w:start w:val="1"/>
      <w:numFmt w:val="lowerRoman"/>
      <w:lvlText w:val="%3."/>
      <w:lvlJc w:val="right"/>
      <w:pPr>
        <w:ind w:left="1663" w:hanging="480"/>
      </w:pPr>
    </w:lvl>
    <w:lvl w:ilvl="3" w:tplc="0409000F">
      <w:start w:val="1"/>
      <w:numFmt w:val="decimal"/>
      <w:lvlText w:val="%4."/>
      <w:lvlJc w:val="left"/>
      <w:pPr>
        <w:ind w:left="2143" w:hanging="480"/>
      </w:pPr>
    </w:lvl>
    <w:lvl w:ilvl="4" w:tplc="04090019">
      <w:start w:val="1"/>
      <w:numFmt w:val="ideographTraditional"/>
      <w:lvlText w:val="%5、"/>
      <w:lvlJc w:val="left"/>
      <w:pPr>
        <w:ind w:left="2623" w:hanging="480"/>
      </w:pPr>
    </w:lvl>
    <w:lvl w:ilvl="5" w:tplc="0409001B">
      <w:start w:val="1"/>
      <w:numFmt w:val="lowerRoman"/>
      <w:lvlText w:val="%6."/>
      <w:lvlJc w:val="right"/>
      <w:pPr>
        <w:ind w:left="3103" w:hanging="480"/>
      </w:pPr>
    </w:lvl>
    <w:lvl w:ilvl="6" w:tplc="0409000F">
      <w:start w:val="1"/>
      <w:numFmt w:val="decimal"/>
      <w:lvlText w:val="%7."/>
      <w:lvlJc w:val="left"/>
      <w:pPr>
        <w:ind w:left="3583" w:hanging="480"/>
      </w:pPr>
    </w:lvl>
    <w:lvl w:ilvl="7" w:tplc="04090019">
      <w:start w:val="1"/>
      <w:numFmt w:val="ideographTraditional"/>
      <w:lvlText w:val="%8、"/>
      <w:lvlJc w:val="left"/>
      <w:pPr>
        <w:ind w:left="4063" w:hanging="480"/>
      </w:pPr>
    </w:lvl>
    <w:lvl w:ilvl="8" w:tplc="0409001B">
      <w:start w:val="1"/>
      <w:numFmt w:val="lowerRoman"/>
      <w:lvlText w:val="%9."/>
      <w:lvlJc w:val="right"/>
      <w:pPr>
        <w:ind w:left="4543" w:hanging="480"/>
      </w:pPr>
    </w:lvl>
  </w:abstractNum>
  <w:abstractNum w:abstractNumId="4">
    <w:nsid w:val="0AF17EFB"/>
    <w:multiLevelType w:val="hybridMultilevel"/>
    <w:tmpl w:val="7842FF74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3" w:hanging="480"/>
      </w:pPr>
    </w:lvl>
    <w:lvl w:ilvl="2" w:tplc="0409001B">
      <w:start w:val="1"/>
      <w:numFmt w:val="lowerRoman"/>
      <w:lvlText w:val="%3."/>
      <w:lvlJc w:val="right"/>
      <w:pPr>
        <w:ind w:left="1663" w:hanging="480"/>
      </w:pPr>
    </w:lvl>
    <w:lvl w:ilvl="3" w:tplc="0409000F">
      <w:start w:val="1"/>
      <w:numFmt w:val="decimal"/>
      <w:lvlText w:val="%4."/>
      <w:lvlJc w:val="left"/>
      <w:pPr>
        <w:ind w:left="2143" w:hanging="480"/>
      </w:pPr>
    </w:lvl>
    <w:lvl w:ilvl="4" w:tplc="04090019">
      <w:start w:val="1"/>
      <w:numFmt w:val="ideographTraditional"/>
      <w:lvlText w:val="%5、"/>
      <w:lvlJc w:val="left"/>
      <w:pPr>
        <w:ind w:left="2623" w:hanging="480"/>
      </w:pPr>
    </w:lvl>
    <w:lvl w:ilvl="5" w:tplc="0409001B">
      <w:start w:val="1"/>
      <w:numFmt w:val="lowerRoman"/>
      <w:lvlText w:val="%6."/>
      <w:lvlJc w:val="right"/>
      <w:pPr>
        <w:ind w:left="3103" w:hanging="480"/>
      </w:pPr>
    </w:lvl>
    <w:lvl w:ilvl="6" w:tplc="0409000F">
      <w:start w:val="1"/>
      <w:numFmt w:val="decimal"/>
      <w:lvlText w:val="%7."/>
      <w:lvlJc w:val="left"/>
      <w:pPr>
        <w:ind w:left="3583" w:hanging="480"/>
      </w:pPr>
    </w:lvl>
    <w:lvl w:ilvl="7" w:tplc="04090019">
      <w:start w:val="1"/>
      <w:numFmt w:val="ideographTraditional"/>
      <w:lvlText w:val="%8、"/>
      <w:lvlJc w:val="left"/>
      <w:pPr>
        <w:ind w:left="4063" w:hanging="480"/>
      </w:pPr>
    </w:lvl>
    <w:lvl w:ilvl="8" w:tplc="0409001B">
      <w:start w:val="1"/>
      <w:numFmt w:val="lowerRoman"/>
      <w:lvlText w:val="%9."/>
      <w:lvlJc w:val="right"/>
      <w:pPr>
        <w:ind w:left="4543" w:hanging="480"/>
      </w:pPr>
    </w:lvl>
  </w:abstractNum>
  <w:abstractNum w:abstractNumId="5">
    <w:nsid w:val="152973B1"/>
    <w:multiLevelType w:val="hybridMultilevel"/>
    <w:tmpl w:val="324A9310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6">
    <w:nsid w:val="153A058D"/>
    <w:multiLevelType w:val="hybridMultilevel"/>
    <w:tmpl w:val="35009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343C04"/>
    <w:multiLevelType w:val="hybridMultilevel"/>
    <w:tmpl w:val="6C64970C"/>
    <w:lvl w:ilvl="0" w:tplc="1FBA6AB4">
      <w:start w:val="1"/>
      <w:numFmt w:val="taiwaneseCountingThousand"/>
      <w:lvlText w:val="%1、"/>
      <w:lvlJc w:val="left"/>
      <w:pPr>
        <w:ind w:left="70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3" w:hanging="480"/>
      </w:pPr>
    </w:lvl>
    <w:lvl w:ilvl="2" w:tplc="0409001B">
      <w:start w:val="1"/>
      <w:numFmt w:val="lowerRoman"/>
      <w:lvlText w:val="%3."/>
      <w:lvlJc w:val="right"/>
      <w:pPr>
        <w:ind w:left="1663" w:hanging="480"/>
      </w:pPr>
    </w:lvl>
    <w:lvl w:ilvl="3" w:tplc="0409000F">
      <w:start w:val="1"/>
      <w:numFmt w:val="decimal"/>
      <w:lvlText w:val="%4."/>
      <w:lvlJc w:val="left"/>
      <w:pPr>
        <w:ind w:left="2143" w:hanging="480"/>
      </w:pPr>
    </w:lvl>
    <w:lvl w:ilvl="4" w:tplc="04090019">
      <w:start w:val="1"/>
      <w:numFmt w:val="ideographTraditional"/>
      <w:lvlText w:val="%5、"/>
      <w:lvlJc w:val="left"/>
      <w:pPr>
        <w:ind w:left="2623" w:hanging="480"/>
      </w:pPr>
    </w:lvl>
    <w:lvl w:ilvl="5" w:tplc="0409001B">
      <w:start w:val="1"/>
      <w:numFmt w:val="lowerRoman"/>
      <w:lvlText w:val="%6."/>
      <w:lvlJc w:val="right"/>
      <w:pPr>
        <w:ind w:left="3103" w:hanging="480"/>
      </w:pPr>
    </w:lvl>
    <w:lvl w:ilvl="6" w:tplc="0409000F">
      <w:start w:val="1"/>
      <w:numFmt w:val="decimal"/>
      <w:lvlText w:val="%7."/>
      <w:lvlJc w:val="left"/>
      <w:pPr>
        <w:ind w:left="3583" w:hanging="480"/>
      </w:pPr>
    </w:lvl>
    <w:lvl w:ilvl="7" w:tplc="04090019">
      <w:start w:val="1"/>
      <w:numFmt w:val="ideographTraditional"/>
      <w:lvlText w:val="%8、"/>
      <w:lvlJc w:val="left"/>
      <w:pPr>
        <w:ind w:left="4063" w:hanging="480"/>
      </w:pPr>
    </w:lvl>
    <w:lvl w:ilvl="8" w:tplc="0409001B">
      <w:start w:val="1"/>
      <w:numFmt w:val="lowerRoman"/>
      <w:lvlText w:val="%9."/>
      <w:lvlJc w:val="right"/>
      <w:pPr>
        <w:ind w:left="4543" w:hanging="480"/>
      </w:pPr>
    </w:lvl>
  </w:abstractNum>
  <w:abstractNum w:abstractNumId="8">
    <w:nsid w:val="2B5B0F24"/>
    <w:multiLevelType w:val="hybridMultilevel"/>
    <w:tmpl w:val="283857F4"/>
    <w:lvl w:ilvl="0" w:tplc="1FBA6AB4">
      <w:start w:val="1"/>
      <w:numFmt w:val="taiwaneseCountingThousand"/>
      <w:lvlText w:val="%1、"/>
      <w:lvlJc w:val="left"/>
      <w:pPr>
        <w:ind w:left="83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1" w:hanging="480"/>
      </w:pPr>
    </w:lvl>
    <w:lvl w:ilvl="2" w:tplc="0409001B">
      <w:start w:val="1"/>
      <w:numFmt w:val="lowerRoman"/>
      <w:lvlText w:val="%3."/>
      <w:lvlJc w:val="right"/>
      <w:pPr>
        <w:ind w:left="1791" w:hanging="480"/>
      </w:pPr>
    </w:lvl>
    <w:lvl w:ilvl="3" w:tplc="0409000F">
      <w:start w:val="1"/>
      <w:numFmt w:val="decimal"/>
      <w:lvlText w:val="%4."/>
      <w:lvlJc w:val="left"/>
      <w:pPr>
        <w:ind w:left="2271" w:hanging="480"/>
      </w:pPr>
    </w:lvl>
    <w:lvl w:ilvl="4" w:tplc="04090019">
      <w:start w:val="1"/>
      <w:numFmt w:val="ideographTraditional"/>
      <w:lvlText w:val="%5、"/>
      <w:lvlJc w:val="left"/>
      <w:pPr>
        <w:ind w:left="2751" w:hanging="480"/>
      </w:pPr>
    </w:lvl>
    <w:lvl w:ilvl="5" w:tplc="0409001B">
      <w:start w:val="1"/>
      <w:numFmt w:val="lowerRoman"/>
      <w:lvlText w:val="%6."/>
      <w:lvlJc w:val="right"/>
      <w:pPr>
        <w:ind w:left="3231" w:hanging="480"/>
      </w:pPr>
    </w:lvl>
    <w:lvl w:ilvl="6" w:tplc="0409000F">
      <w:start w:val="1"/>
      <w:numFmt w:val="decimal"/>
      <w:lvlText w:val="%7."/>
      <w:lvlJc w:val="left"/>
      <w:pPr>
        <w:ind w:left="3711" w:hanging="480"/>
      </w:pPr>
    </w:lvl>
    <w:lvl w:ilvl="7" w:tplc="04090019">
      <w:start w:val="1"/>
      <w:numFmt w:val="ideographTraditional"/>
      <w:lvlText w:val="%8、"/>
      <w:lvlJc w:val="left"/>
      <w:pPr>
        <w:ind w:left="4191" w:hanging="480"/>
      </w:pPr>
    </w:lvl>
    <w:lvl w:ilvl="8" w:tplc="0409001B">
      <w:start w:val="1"/>
      <w:numFmt w:val="lowerRoman"/>
      <w:lvlText w:val="%9."/>
      <w:lvlJc w:val="right"/>
      <w:pPr>
        <w:ind w:left="4671" w:hanging="480"/>
      </w:pPr>
    </w:lvl>
  </w:abstractNum>
  <w:abstractNum w:abstractNumId="9">
    <w:nsid w:val="33BD199A"/>
    <w:multiLevelType w:val="hybridMultilevel"/>
    <w:tmpl w:val="E0D85964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0">
    <w:nsid w:val="357F7E70"/>
    <w:multiLevelType w:val="hybridMultilevel"/>
    <w:tmpl w:val="C46C1160"/>
    <w:lvl w:ilvl="0" w:tplc="0FEC253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547D5B"/>
    <w:multiLevelType w:val="hybridMultilevel"/>
    <w:tmpl w:val="032ABC5C"/>
    <w:lvl w:ilvl="0" w:tplc="1D280A36">
      <w:start w:val="7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67E98"/>
    <w:multiLevelType w:val="hybridMultilevel"/>
    <w:tmpl w:val="9D66F02A"/>
    <w:lvl w:ilvl="0" w:tplc="B4A21EC2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660F70"/>
    <w:multiLevelType w:val="hybridMultilevel"/>
    <w:tmpl w:val="F9F84E9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4">
    <w:nsid w:val="6E8D5F4A"/>
    <w:multiLevelType w:val="hybridMultilevel"/>
    <w:tmpl w:val="B3D0D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550D2A"/>
    <w:multiLevelType w:val="hybridMultilevel"/>
    <w:tmpl w:val="6750F8B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6">
    <w:nsid w:val="7C757A3C"/>
    <w:multiLevelType w:val="hybridMultilevel"/>
    <w:tmpl w:val="692C16EC"/>
    <w:lvl w:ilvl="0" w:tplc="1FBA6AB4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CB"/>
    <w:rsid w:val="00003936"/>
    <w:rsid w:val="00006A74"/>
    <w:rsid w:val="00011489"/>
    <w:rsid w:val="00017E48"/>
    <w:rsid w:val="00021C7B"/>
    <w:rsid w:val="000220FA"/>
    <w:rsid w:val="00025236"/>
    <w:rsid w:val="00026252"/>
    <w:rsid w:val="00031C3F"/>
    <w:rsid w:val="00033103"/>
    <w:rsid w:val="00036363"/>
    <w:rsid w:val="000368ED"/>
    <w:rsid w:val="00041417"/>
    <w:rsid w:val="00045A3D"/>
    <w:rsid w:val="00047BEF"/>
    <w:rsid w:val="00053B02"/>
    <w:rsid w:val="0006211F"/>
    <w:rsid w:val="0006233F"/>
    <w:rsid w:val="00064872"/>
    <w:rsid w:val="00070749"/>
    <w:rsid w:val="00076182"/>
    <w:rsid w:val="00080073"/>
    <w:rsid w:val="00080E48"/>
    <w:rsid w:val="000A7754"/>
    <w:rsid w:val="000B3C9C"/>
    <w:rsid w:val="000B4950"/>
    <w:rsid w:val="000B4AC5"/>
    <w:rsid w:val="000B5347"/>
    <w:rsid w:val="000B59CF"/>
    <w:rsid w:val="000B5D78"/>
    <w:rsid w:val="000C007C"/>
    <w:rsid w:val="000C02CA"/>
    <w:rsid w:val="000C1E35"/>
    <w:rsid w:val="000C2772"/>
    <w:rsid w:val="000C38D8"/>
    <w:rsid w:val="000C3BDE"/>
    <w:rsid w:val="000C6DA2"/>
    <w:rsid w:val="000D0B03"/>
    <w:rsid w:val="000D42F1"/>
    <w:rsid w:val="000D4FB6"/>
    <w:rsid w:val="000D58E9"/>
    <w:rsid w:val="000E654B"/>
    <w:rsid w:val="000E798C"/>
    <w:rsid w:val="000F00C4"/>
    <w:rsid w:val="000F35EB"/>
    <w:rsid w:val="001069E4"/>
    <w:rsid w:val="00107021"/>
    <w:rsid w:val="00110DC4"/>
    <w:rsid w:val="00111858"/>
    <w:rsid w:val="001145BA"/>
    <w:rsid w:val="00114887"/>
    <w:rsid w:val="001153B9"/>
    <w:rsid w:val="00116C18"/>
    <w:rsid w:val="0011722D"/>
    <w:rsid w:val="00117234"/>
    <w:rsid w:val="00120FA1"/>
    <w:rsid w:val="00121687"/>
    <w:rsid w:val="00122C0D"/>
    <w:rsid w:val="00124BC2"/>
    <w:rsid w:val="001327EF"/>
    <w:rsid w:val="00133762"/>
    <w:rsid w:val="0013571C"/>
    <w:rsid w:val="00136168"/>
    <w:rsid w:val="001371B4"/>
    <w:rsid w:val="0014778A"/>
    <w:rsid w:val="00152360"/>
    <w:rsid w:val="0015284B"/>
    <w:rsid w:val="00162E0A"/>
    <w:rsid w:val="00163914"/>
    <w:rsid w:val="00166950"/>
    <w:rsid w:val="00170AA0"/>
    <w:rsid w:val="001710EC"/>
    <w:rsid w:val="00173695"/>
    <w:rsid w:val="00180FB6"/>
    <w:rsid w:val="00190231"/>
    <w:rsid w:val="00193162"/>
    <w:rsid w:val="001947A3"/>
    <w:rsid w:val="0019513A"/>
    <w:rsid w:val="00195153"/>
    <w:rsid w:val="00196CBB"/>
    <w:rsid w:val="001972B8"/>
    <w:rsid w:val="001A0017"/>
    <w:rsid w:val="001A1B21"/>
    <w:rsid w:val="001A30CC"/>
    <w:rsid w:val="001B02DD"/>
    <w:rsid w:val="001B10A7"/>
    <w:rsid w:val="001B14D7"/>
    <w:rsid w:val="001C262F"/>
    <w:rsid w:val="001C42DA"/>
    <w:rsid w:val="001C45B5"/>
    <w:rsid w:val="001C6E49"/>
    <w:rsid w:val="001D0994"/>
    <w:rsid w:val="001D7478"/>
    <w:rsid w:val="001E2D4F"/>
    <w:rsid w:val="001E4B28"/>
    <w:rsid w:val="001E51C9"/>
    <w:rsid w:val="001F0D66"/>
    <w:rsid w:val="001F3859"/>
    <w:rsid w:val="001F6A97"/>
    <w:rsid w:val="00200A71"/>
    <w:rsid w:val="002101D1"/>
    <w:rsid w:val="0021056A"/>
    <w:rsid w:val="002127CE"/>
    <w:rsid w:val="00213E1F"/>
    <w:rsid w:val="00213EA2"/>
    <w:rsid w:val="0021703F"/>
    <w:rsid w:val="00220DB1"/>
    <w:rsid w:val="00225D80"/>
    <w:rsid w:val="00225E85"/>
    <w:rsid w:val="002267F8"/>
    <w:rsid w:val="00227D1E"/>
    <w:rsid w:val="00230C9F"/>
    <w:rsid w:val="0023121F"/>
    <w:rsid w:val="0023241B"/>
    <w:rsid w:val="0023447B"/>
    <w:rsid w:val="0023703B"/>
    <w:rsid w:val="0024017F"/>
    <w:rsid w:val="00251293"/>
    <w:rsid w:val="00251CD5"/>
    <w:rsid w:val="00254373"/>
    <w:rsid w:val="002554E2"/>
    <w:rsid w:val="002566F4"/>
    <w:rsid w:val="0026025F"/>
    <w:rsid w:val="00260EB0"/>
    <w:rsid w:val="00275292"/>
    <w:rsid w:val="00275579"/>
    <w:rsid w:val="00275D4F"/>
    <w:rsid w:val="0027611D"/>
    <w:rsid w:val="00276A7B"/>
    <w:rsid w:val="00280777"/>
    <w:rsid w:val="00286B7B"/>
    <w:rsid w:val="0028776E"/>
    <w:rsid w:val="002906B2"/>
    <w:rsid w:val="002954FB"/>
    <w:rsid w:val="00296F89"/>
    <w:rsid w:val="002978EA"/>
    <w:rsid w:val="002A0D7C"/>
    <w:rsid w:val="002A77C1"/>
    <w:rsid w:val="002B0EF1"/>
    <w:rsid w:val="002B12BF"/>
    <w:rsid w:val="002B5B5A"/>
    <w:rsid w:val="002B6627"/>
    <w:rsid w:val="002C373E"/>
    <w:rsid w:val="002D06CB"/>
    <w:rsid w:val="002D26ED"/>
    <w:rsid w:val="002D5FC4"/>
    <w:rsid w:val="002D7E1B"/>
    <w:rsid w:val="002E00DE"/>
    <w:rsid w:val="002E0235"/>
    <w:rsid w:val="002E3982"/>
    <w:rsid w:val="002E6C2C"/>
    <w:rsid w:val="00304C83"/>
    <w:rsid w:val="003062EF"/>
    <w:rsid w:val="003165AC"/>
    <w:rsid w:val="003166BE"/>
    <w:rsid w:val="003170EA"/>
    <w:rsid w:val="00320E43"/>
    <w:rsid w:val="00324BF9"/>
    <w:rsid w:val="00326E2D"/>
    <w:rsid w:val="003313D1"/>
    <w:rsid w:val="00332132"/>
    <w:rsid w:val="00337027"/>
    <w:rsid w:val="00340AB0"/>
    <w:rsid w:val="0034392F"/>
    <w:rsid w:val="00355EB4"/>
    <w:rsid w:val="00357850"/>
    <w:rsid w:val="00371190"/>
    <w:rsid w:val="003730E6"/>
    <w:rsid w:val="00386E1E"/>
    <w:rsid w:val="00392CDB"/>
    <w:rsid w:val="00394B82"/>
    <w:rsid w:val="0039571B"/>
    <w:rsid w:val="003A33C3"/>
    <w:rsid w:val="003A44C9"/>
    <w:rsid w:val="003A5C8A"/>
    <w:rsid w:val="003C53E0"/>
    <w:rsid w:val="003C541D"/>
    <w:rsid w:val="003D0593"/>
    <w:rsid w:val="003D2E97"/>
    <w:rsid w:val="003D3F0D"/>
    <w:rsid w:val="003D42D3"/>
    <w:rsid w:val="003D7142"/>
    <w:rsid w:val="003D7D5F"/>
    <w:rsid w:val="003E04CA"/>
    <w:rsid w:val="003E32DD"/>
    <w:rsid w:val="003E4144"/>
    <w:rsid w:val="003E4ED3"/>
    <w:rsid w:val="003E5447"/>
    <w:rsid w:val="003E6586"/>
    <w:rsid w:val="003E6948"/>
    <w:rsid w:val="003E6963"/>
    <w:rsid w:val="003F05C3"/>
    <w:rsid w:val="0040288D"/>
    <w:rsid w:val="00404ABE"/>
    <w:rsid w:val="00407F90"/>
    <w:rsid w:val="004101C0"/>
    <w:rsid w:val="00410572"/>
    <w:rsid w:val="00411DF8"/>
    <w:rsid w:val="0041277A"/>
    <w:rsid w:val="00417444"/>
    <w:rsid w:val="0042301B"/>
    <w:rsid w:val="004241FD"/>
    <w:rsid w:val="00434EAA"/>
    <w:rsid w:val="004400D9"/>
    <w:rsid w:val="00450429"/>
    <w:rsid w:val="0045076B"/>
    <w:rsid w:val="00452036"/>
    <w:rsid w:val="00454BB3"/>
    <w:rsid w:val="00457DF3"/>
    <w:rsid w:val="0046657B"/>
    <w:rsid w:val="0048046F"/>
    <w:rsid w:val="00484A7C"/>
    <w:rsid w:val="00496691"/>
    <w:rsid w:val="004A059B"/>
    <w:rsid w:val="004A1223"/>
    <w:rsid w:val="004A4750"/>
    <w:rsid w:val="004A4EA9"/>
    <w:rsid w:val="004A5378"/>
    <w:rsid w:val="004A5D16"/>
    <w:rsid w:val="004A6F41"/>
    <w:rsid w:val="004B7F82"/>
    <w:rsid w:val="004C0411"/>
    <w:rsid w:val="004C0C90"/>
    <w:rsid w:val="004C42A1"/>
    <w:rsid w:val="004C7C4F"/>
    <w:rsid w:val="004E1000"/>
    <w:rsid w:val="004E3A16"/>
    <w:rsid w:val="004E763C"/>
    <w:rsid w:val="004F4BD0"/>
    <w:rsid w:val="004F5AD6"/>
    <w:rsid w:val="004F7710"/>
    <w:rsid w:val="004F7890"/>
    <w:rsid w:val="00503B67"/>
    <w:rsid w:val="0050630F"/>
    <w:rsid w:val="00510493"/>
    <w:rsid w:val="00514913"/>
    <w:rsid w:val="0052156E"/>
    <w:rsid w:val="00521FE4"/>
    <w:rsid w:val="00523D3D"/>
    <w:rsid w:val="00527F0A"/>
    <w:rsid w:val="00531F87"/>
    <w:rsid w:val="0053271F"/>
    <w:rsid w:val="005363B9"/>
    <w:rsid w:val="0054414E"/>
    <w:rsid w:val="00552799"/>
    <w:rsid w:val="005532F3"/>
    <w:rsid w:val="00555791"/>
    <w:rsid w:val="00560010"/>
    <w:rsid w:val="00560D79"/>
    <w:rsid w:val="0056519F"/>
    <w:rsid w:val="00574740"/>
    <w:rsid w:val="00575A56"/>
    <w:rsid w:val="005770DA"/>
    <w:rsid w:val="00580BB0"/>
    <w:rsid w:val="00583850"/>
    <w:rsid w:val="00584E24"/>
    <w:rsid w:val="00593246"/>
    <w:rsid w:val="00595959"/>
    <w:rsid w:val="005A7C1F"/>
    <w:rsid w:val="005B0B6F"/>
    <w:rsid w:val="005B4EE2"/>
    <w:rsid w:val="005B56C9"/>
    <w:rsid w:val="005C14E0"/>
    <w:rsid w:val="005C56C9"/>
    <w:rsid w:val="005C5B00"/>
    <w:rsid w:val="005C60CF"/>
    <w:rsid w:val="005D3E2E"/>
    <w:rsid w:val="005E124B"/>
    <w:rsid w:val="005E4227"/>
    <w:rsid w:val="005E6E39"/>
    <w:rsid w:val="005F4290"/>
    <w:rsid w:val="005F7F14"/>
    <w:rsid w:val="00604CE6"/>
    <w:rsid w:val="00612E2A"/>
    <w:rsid w:val="00614255"/>
    <w:rsid w:val="00620A34"/>
    <w:rsid w:val="006231EE"/>
    <w:rsid w:val="00624DBD"/>
    <w:rsid w:val="0063055B"/>
    <w:rsid w:val="00643180"/>
    <w:rsid w:val="00643566"/>
    <w:rsid w:val="00647603"/>
    <w:rsid w:val="00650603"/>
    <w:rsid w:val="00651F0B"/>
    <w:rsid w:val="006521A2"/>
    <w:rsid w:val="00666D49"/>
    <w:rsid w:val="00671F24"/>
    <w:rsid w:val="006723B0"/>
    <w:rsid w:val="00675440"/>
    <w:rsid w:val="0067612F"/>
    <w:rsid w:val="00681CC9"/>
    <w:rsid w:val="0068496C"/>
    <w:rsid w:val="00687261"/>
    <w:rsid w:val="00696B22"/>
    <w:rsid w:val="006A14D8"/>
    <w:rsid w:val="006A1B2C"/>
    <w:rsid w:val="006A72A7"/>
    <w:rsid w:val="006B270F"/>
    <w:rsid w:val="006B3D80"/>
    <w:rsid w:val="006B7E75"/>
    <w:rsid w:val="006C16BC"/>
    <w:rsid w:val="006C36C6"/>
    <w:rsid w:val="006C4C5C"/>
    <w:rsid w:val="006C4E33"/>
    <w:rsid w:val="006D0622"/>
    <w:rsid w:val="006D2EBC"/>
    <w:rsid w:val="006D5767"/>
    <w:rsid w:val="006E0A3D"/>
    <w:rsid w:val="006E2CB4"/>
    <w:rsid w:val="006E3988"/>
    <w:rsid w:val="006E61DD"/>
    <w:rsid w:val="006F7941"/>
    <w:rsid w:val="00701B79"/>
    <w:rsid w:val="007045CE"/>
    <w:rsid w:val="00706690"/>
    <w:rsid w:val="007146B9"/>
    <w:rsid w:val="0071674C"/>
    <w:rsid w:val="0072469D"/>
    <w:rsid w:val="00726D29"/>
    <w:rsid w:val="00727154"/>
    <w:rsid w:val="007307AE"/>
    <w:rsid w:val="007459CC"/>
    <w:rsid w:val="007503E6"/>
    <w:rsid w:val="00753C66"/>
    <w:rsid w:val="00754503"/>
    <w:rsid w:val="00761AE9"/>
    <w:rsid w:val="00762D43"/>
    <w:rsid w:val="00765171"/>
    <w:rsid w:val="007707F4"/>
    <w:rsid w:val="007734A4"/>
    <w:rsid w:val="007743E7"/>
    <w:rsid w:val="007777CD"/>
    <w:rsid w:val="007817EE"/>
    <w:rsid w:val="007902C4"/>
    <w:rsid w:val="0079112A"/>
    <w:rsid w:val="00791F19"/>
    <w:rsid w:val="007977D1"/>
    <w:rsid w:val="007A3ABD"/>
    <w:rsid w:val="007B0121"/>
    <w:rsid w:val="007B1A39"/>
    <w:rsid w:val="007B3E23"/>
    <w:rsid w:val="007B71FE"/>
    <w:rsid w:val="007B7480"/>
    <w:rsid w:val="007C1156"/>
    <w:rsid w:val="007C1534"/>
    <w:rsid w:val="007C3978"/>
    <w:rsid w:val="007C4807"/>
    <w:rsid w:val="007D7083"/>
    <w:rsid w:val="007D78EE"/>
    <w:rsid w:val="007D7CF2"/>
    <w:rsid w:val="007E0B69"/>
    <w:rsid w:val="007E127E"/>
    <w:rsid w:val="007E1B59"/>
    <w:rsid w:val="007E2828"/>
    <w:rsid w:val="007E4907"/>
    <w:rsid w:val="007E6B06"/>
    <w:rsid w:val="007F3712"/>
    <w:rsid w:val="008028F1"/>
    <w:rsid w:val="00806814"/>
    <w:rsid w:val="00806C3A"/>
    <w:rsid w:val="00813094"/>
    <w:rsid w:val="0081416D"/>
    <w:rsid w:val="008212E1"/>
    <w:rsid w:val="00826989"/>
    <w:rsid w:val="0083027B"/>
    <w:rsid w:val="00831E8C"/>
    <w:rsid w:val="0083624D"/>
    <w:rsid w:val="00836747"/>
    <w:rsid w:val="00844290"/>
    <w:rsid w:val="00845C69"/>
    <w:rsid w:val="00851C60"/>
    <w:rsid w:val="008520BC"/>
    <w:rsid w:val="008544FD"/>
    <w:rsid w:val="00856E5D"/>
    <w:rsid w:val="00865DBC"/>
    <w:rsid w:val="00871ADA"/>
    <w:rsid w:val="00874E12"/>
    <w:rsid w:val="00881399"/>
    <w:rsid w:val="0088189A"/>
    <w:rsid w:val="00882AF1"/>
    <w:rsid w:val="008843A1"/>
    <w:rsid w:val="00885B59"/>
    <w:rsid w:val="00886E39"/>
    <w:rsid w:val="008915D8"/>
    <w:rsid w:val="008A0092"/>
    <w:rsid w:val="008A1E94"/>
    <w:rsid w:val="008B1E9D"/>
    <w:rsid w:val="008B7A60"/>
    <w:rsid w:val="008B7E6D"/>
    <w:rsid w:val="008C5238"/>
    <w:rsid w:val="008D226B"/>
    <w:rsid w:val="008E07C3"/>
    <w:rsid w:val="008E1200"/>
    <w:rsid w:val="008E7E10"/>
    <w:rsid w:val="008F2C7D"/>
    <w:rsid w:val="009009CE"/>
    <w:rsid w:val="0090132A"/>
    <w:rsid w:val="00902121"/>
    <w:rsid w:val="009035AF"/>
    <w:rsid w:val="0090790E"/>
    <w:rsid w:val="00911771"/>
    <w:rsid w:val="00911BCB"/>
    <w:rsid w:val="0092501F"/>
    <w:rsid w:val="00932CD6"/>
    <w:rsid w:val="00941BAF"/>
    <w:rsid w:val="0094355F"/>
    <w:rsid w:val="00943713"/>
    <w:rsid w:val="009472D7"/>
    <w:rsid w:val="0095279A"/>
    <w:rsid w:val="00952A28"/>
    <w:rsid w:val="00961F6D"/>
    <w:rsid w:val="00964033"/>
    <w:rsid w:val="0096498E"/>
    <w:rsid w:val="00967B16"/>
    <w:rsid w:val="00972D8A"/>
    <w:rsid w:val="00977431"/>
    <w:rsid w:val="00983571"/>
    <w:rsid w:val="00985A03"/>
    <w:rsid w:val="0098606B"/>
    <w:rsid w:val="009863BD"/>
    <w:rsid w:val="0099467C"/>
    <w:rsid w:val="009961AA"/>
    <w:rsid w:val="009A0294"/>
    <w:rsid w:val="009A1327"/>
    <w:rsid w:val="009A4AE4"/>
    <w:rsid w:val="009A6C44"/>
    <w:rsid w:val="009B7E9A"/>
    <w:rsid w:val="009C3675"/>
    <w:rsid w:val="009C60CC"/>
    <w:rsid w:val="009D03E1"/>
    <w:rsid w:val="009D0C21"/>
    <w:rsid w:val="009D1484"/>
    <w:rsid w:val="009D1D09"/>
    <w:rsid w:val="009D7687"/>
    <w:rsid w:val="009E03F0"/>
    <w:rsid w:val="009E2E00"/>
    <w:rsid w:val="009E398E"/>
    <w:rsid w:val="009E3E47"/>
    <w:rsid w:val="009E6F4A"/>
    <w:rsid w:val="009F2069"/>
    <w:rsid w:val="009F279D"/>
    <w:rsid w:val="009F4170"/>
    <w:rsid w:val="009F7CF0"/>
    <w:rsid w:val="00A03726"/>
    <w:rsid w:val="00A07B89"/>
    <w:rsid w:val="00A118D6"/>
    <w:rsid w:val="00A13DC2"/>
    <w:rsid w:val="00A13E93"/>
    <w:rsid w:val="00A144D3"/>
    <w:rsid w:val="00A22C51"/>
    <w:rsid w:val="00A25C49"/>
    <w:rsid w:val="00A31AF8"/>
    <w:rsid w:val="00A3762E"/>
    <w:rsid w:val="00A42350"/>
    <w:rsid w:val="00A478B6"/>
    <w:rsid w:val="00A51DB8"/>
    <w:rsid w:val="00A53B63"/>
    <w:rsid w:val="00A668FB"/>
    <w:rsid w:val="00A67030"/>
    <w:rsid w:val="00A765C8"/>
    <w:rsid w:val="00A766E7"/>
    <w:rsid w:val="00A82402"/>
    <w:rsid w:val="00A844D4"/>
    <w:rsid w:val="00A86DDC"/>
    <w:rsid w:val="00A9128D"/>
    <w:rsid w:val="00A912E4"/>
    <w:rsid w:val="00A91D87"/>
    <w:rsid w:val="00A94388"/>
    <w:rsid w:val="00A95C99"/>
    <w:rsid w:val="00AA2EA0"/>
    <w:rsid w:val="00AA7CCF"/>
    <w:rsid w:val="00AB0B73"/>
    <w:rsid w:val="00AB655C"/>
    <w:rsid w:val="00AC0395"/>
    <w:rsid w:val="00AC0402"/>
    <w:rsid w:val="00AC0BA8"/>
    <w:rsid w:val="00AC3394"/>
    <w:rsid w:val="00AC44AA"/>
    <w:rsid w:val="00AC6AE5"/>
    <w:rsid w:val="00AD1494"/>
    <w:rsid w:val="00AD54D8"/>
    <w:rsid w:val="00AE0217"/>
    <w:rsid w:val="00AE0627"/>
    <w:rsid w:val="00AE2361"/>
    <w:rsid w:val="00AE25AD"/>
    <w:rsid w:val="00AE4162"/>
    <w:rsid w:val="00AE58FD"/>
    <w:rsid w:val="00AF228E"/>
    <w:rsid w:val="00AF3B74"/>
    <w:rsid w:val="00AF4B16"/>
    <w:rsid w:val="00B04507"/>
    <w:rsid w:val="00B11069"/>
    <w:rsid w:val="00B176B0"/>
    <w:rsid w:val="00B17ECC"/>
    <w:rsid w:val="00B2058A"/>
    <w:rsid w:val="00B26281"/>
    <w:rsid w:val="00B2738E"/>
    <w:rsid w:val="00B274A6"/>
    <w:rsid w:val="00B3093E"/>
    <w:rsid w:val="00B35B3F"/>
    <w:rsid w:val="00B36B90"/>
    <w:rsid w:val="00B401CA"/>
    <w:rsid w:val="00B42BF8"/>
    <w:rsid w:val="00B4304F"/>
    <w:rsid w:val="00B43B5E"/>
    <w:rsid w:val="00B528A8"/>
    <w:rsid w:val="00B52D1D"/>
    <w:rsid w:val="00B610CA"/>
    <w:rsid w:val="00B61B8A"/>
    <w:rsid w:val="00B63462"/>
    <w:rsid w:val="00B640BC"/>
    <w:rsid w:val="00B72BF0"/>
    <w:rsid w:val="00B72F10"/>
    <w:rsid w:val="00B77385"/>
    <w:rsid w:val="00B9267E"/>
    <w:rsid w:val="00BA141E"/>
    <w:rsid w:val="00BA1551"/>
    <w:rsid w:val="00BA355A"/>
    <w:rsid w:val="00BB0AB4"/>
    <w:rsid w:val="00BB2EAB"/>
    <w:rsid w:val="00BB6211"/>
    <w:rsid w:val="00BB6809"/>
    <w:rsid w:val="00BB7BC7"/>
    <w:rsid w:val="00BC172F"/>
    <w:rsid w:val="00BC1EDE"/>
    <w:rsid w:val="00BD4069"/>
    <w:rsid w:val="00BD53FB"/>
    <w:rsid w:val="00BD68E8"/>
    <w:rsid w:val="00BD6BDA"/>
    <w:rsid w:val="00BE0C69"/>
    <w:rsid w:val="00BE1B8E"/>
    <w:rsid w:val="00BF6E08"/>
    <w:rsid w:val="00C00CC6"/>
    <w:rsid w:val="00C01B85"/>
    <w:rsid w:val="00C01BA5"/>
    <w:rsid w:val="00C01F4E"/>
    <w:rsid w:val="00C03871"/>
    <w:rsid w:val="00C03BE9"/>
    <w:rsid w:val="00C03CDB"/>
    <w:rsid w:val="00C045E7"/>
    <w:rsid w:val="00C04C3F"/>
    <w:rsid w:val="00C04E2C"/>
    <w:rsid w:val="00C1208F"/>
    <w:rsid w:val="00C16F08"/>
    <w:rsid w:val="00C17E4F"/>
    <w:rsid w:val="00C2103A"/>
    <w:rsid w:val="00C2276C"/>
    <w:rsid w:val="00C2459A"/>
    <w:rsid w:val="00C25AFD"/>
    <w:rsid w:val="00C30D9C"/>
    <w:rsid w:val="00C34AE6"/>
    <w:rsid w:val="00C35C58"/>
    <w:rsid w:val="00C408D9"/>
    <w:rsid w:val="00C42132"/>
    <w:rsid w:val="00C43761"/>
    <w:rsid w:val="00C46C8C"/>
    <w:rsid w:val="00C46F25"/>
    <w:rsid w:val="00C521D7"/>
    <w:rsid w:val="00C52365"/>
    <w:rsid w:val="00C53AB9"/>
    <w:rsid w:val="00C61C34"/>
    <w:rsid w:val="00C658E5"/>
    <w:rsid w:val="00C70715"/>
    <w:rsid w:val="00C75108"/>
    <w:rsid w:val="00C86E37"/>
    <w:rsid w:val="00C96982"/>
    <w:rsid w:val="00CA153B"/>
    <w:rsid w:val="00CA772F"/>
    <w:rsid w:val="00CB3C1B"/>
    <w:rsid w:val="00CB7882"/>
    <w:rsid w:val="00CC2DE3"/>
    <w:rsid w:val="00CC4ED2"/>
    <w:rsid w:val="00CC60D6"/>
    <w:rsid w:val="00CD2564"/>
    <w:rsid w:val="00CD4633"/>
    <w:rsid w:val="00CD575E"/>
    <w:rsid w:val="00CE3883"/>
    <w:rsid w:val="00CE76F0"/>
    <w:rsid w:val="00CF169E"/>
    <w:rsid w:val="00CF2098"/>
    <w:rsid w:val="00CF636B"/>
    <w:rsid w:val="00CF65DA"/>
    <w:rsid w:val="00D00B78"/>
    <w:rsid w:val="00D01EC7"/>
    <w:rsid w:val="00D02B0B"/>
    <w:rsid w:val="00D0563F"/>
    <w:rsid w:val="00D11B1C"/>
    <w:rsid w:val="00D14F9D"/>
    <w:rsid w:val="00D21590"/>
    <w:rsid w:val="00D2550D"/>
    <w:rsid w:val="00D3555C"/>
    <w:rsid w:val="00D44C83"/>
    <w:rsid w:val="00D46939"/>
    <w:rsid w:val="00D500C9"/>
    <w:rsid w:val="00D51FC2"/>
    <w:rsid w:val="00D52294"/>
    <w:rsid w:val="00D5746E"/>
    <w:rsid w:val="00D57B27"/>
    <w:rsid w:val="00D619EE"/>
    <w:rsid w:val="00D659DF"/>
    <w:rsid w:val="00D67597"/>
    <w:rsid w:val="00D83908"/>
    <w:rsid w:val="00D841F0"/>
    <w:rsid w:val="00D86C01"/>
    <w:rsid w:val="00D874E3"/>
    <w:rsid w:val="00D877B1"/>
    <w:rsid w:val="00D95928"/>
    <w:rsid w:val="00D967AF"/>
    <w:rsid w:val="00D97BE1"/>
    <w:rsid w:val="00DA0ABA"/>
    <w:rsid w:val="00DA1FC5"/>
    <w:rsid w:val="00DA2319"/>
    <w:rsid w:val="00DA396B"/>
    <w:rsid w:val="00DA71C5"/>
    <w:rsid w:val="00DB19CE"/>
    <w:rsid w:val="00DB1C5D"/>
    <w:rsid w:val="00DB327C"/>
    <w:rsid w:val="00DB4076"/>
    <w:rsid w:val="00DC4C7E"/>
    <w:rsid w:val="00DC50A9"/>
    <w:rsid w:val="00DC69E6"/>
    <w:rsid w:val="00DD28D4"/>
    <w:rsid w:val="00DD56E9"/>
    <w:rsid w:val="00DD61A6"/>
    <w:rsid w:val="00DD79B6"/>
    <w:rsid w:val="00DE016D"/>
    <w:rsid w:val="00DE1D37"/>
    <w:rsid w:val="00DE2D1F"/>
    <w:rsid w:val="00DE6394"/>
    <w:rsid w:val="00DF06F9"/>
    <w:rsid w:val="00DF3878"/>
    <w:rsid w:val="00DF387F"/>
    <w:rsid w:val="00DF4AA9"/>
    <w:rsid w:val="00DF7AC5"/>
    <w:rsid w:val="00E01259"/>
    <w:rsid w:val="00E02C86"/>
    <w:rsid w:val="00E07273"/>
    <w:rsid w:val="00E10F0B"/>
    <w:rsid w:val="00E12814"/>
    <w:rsid w:val="00E1582B"/>
    <w:rsid w:val="00E20D9E"/>
    <w:rsid w:val="00E21FB1"/>
    <w:rsid w:val="00E26084"/>
    <w:rsid w:val="00E26AAA"/>
    <w:rsid w:val="00E43E3E"/>
    <w:rsid w:val="00E4457D"/>
    <w:rsid w:val="00E464D5"/>
    <w:rsid w:val="00E51C2B"/>
    <w:rsid w:val="00E568E4"/>
    <w:rsid w:val="00E60118"/>
    <w:rsid w:val="00E619C1"/>
    <w:rsid w:val="00E63D7A"/>
    <w:rsid w:val="00E63EDB"/>
    <w:rsid w:val="00E63FF3"/>
    <w:rsid w:val="00E6561C"/>
    <w:rsid w:val="00E70CB6"/>
    <w:rsid w:val="00E72438"/>
    <w:rsid w:val="00E74948"/>
    <w:rsid w:val="00E74F19"/>
    <w:rsid w:val="00E96B80"/>
    <w:rsid w:val="00EA45F0"/>
    <w:rsid w:val="00EA6294"/>
    <w:rsid w:val="00EB09F8"/>
    <w:rsid w:val="00EB0DA0"/>
    <w:rsid w:val="00EB2653"/>
    <w:rsid w:val="00EB4A6A"/>
    <w:rsid w:val="00EB75DB"/>
    <w:rsid w:val="00EC1477"/>
    <w:rsid w:val="00EC1C34"/>
    <w:rsid w:val="00EC1EBA"/>
    <w:rsid w:val="00ED09AC"/>
    <w:rsid w:val="00EE76FD"/>
    <w:rsid w:val="00EE7A39"/>
    <w:rsid w:val="00EF11C8"/>
    <w:rsid w:val="00EF2E5A"/>
    <w:rsid w:val="00EF3C98"/>
    <w:rsid w:val="00EF5E30"/>
    <w:rsid w:val="00F01EC6"/>
    <w:rsid w:val="00F052D6"/>
    <w:rsid w:val="00F06376"/>
    <w:rsid w:val="00F06FC2"/>
    <w:rsid w:val="00F11895"/>
    <w:rsid w:val="00F1583E"/>
    <w:rsid w:val="00F15FA7"/>
    <w:rsid w:val="00F16AA2"/>
    <w:rsid w:val="00F20ED5"/>
    <w:rsid w:val="00F23188"/>
    <w:rsid w:val="00F2364D"/>
    <w:rsid w:val="00F24917"/>
    <w:rsid w:val="00F269DC"/>
    <w:rsid w:val="00F26FBD"/>
    <w:rsid w:val="00F32133"/>
    <w:rsid w:val="00F34B4F"/>
    <w:rsid w:val="00F37FB7"/>
    <w:rsid w:val="00F41440"/>
    <w:rsid w:val="00F415AA"/>
    <w:rsid w:val="00F438AD"/>
    <w:rsid w:val="00F43E31"/>
    <w:rsid w:val="00F51BD8"/>
    <w:rsid w:val="00F54C04"/>
    <w:rsid w:val="00F62190"/>
    <w:rsid w:val="00F63B26"/>
    <w:rsid w:val="00F64739"/>
    <w:rsid w:val="00F72CBC"/>
    <w:rsid w:val="00F72E28"/>
    <w:rsid w:val="00F72F17"/>
    <w:rsid w:val="00F73975"/>
    <w:rsid w:val="00F74A04"/>
    <w:rsid w:val="00F81821"/>
    <w:rsid w:val="00F83CD3"/>
    <w:rsid w:val="00F8438F"/>
    <w:rsid w:val="00F92345"/>
    <w:rsid w:val="00F92640"/>
    <w:rsid w:val="00F92AAC"/>
    <w:rsid w:val="00FA0C67"/>
    <w:rsid w:val="00FA11E0"/>
    <w:rsid w:val="00FA42F9"/>
    <w:rsid w:val="00FA68B3"/>
    <w:rsid w:val="00FB41DD"/>
    <w:rsid w:val="00FB6425"/>
    <w:rsid w:val="00FB66B4"/>
    <w:rsid w:val="00FB78BD"/>
    <w:rsid w:val="00FC2EBE"/>
    <w:rsid w:val="00FC41E9"/>
    <w:rsid w:val="00FC4A6B"/>
    <w:rsid w:val="00FC5D17"/>
    <w:rsid w:val="00FC716B"/>
    <w:rsid w:val="00FC73D3"/>
    <w:rsid w:val="00FC7B7E"/>
    <w:rsid w:val="00FD5729"/>
    <w:rsid w:val="00FE0466"/>
    <w:rsid w:val="00FE076D"/>
    <w:rsid w:val="00FE39C8"/>
    <w:rsid w:val="00FF043F"/>
    <w:rsid w:val="00FF20A1"/>
    <w:rsid w:val="00FF25F1"/>
    <w:rsid w:val="00FF517E"/>
    <w:rsid w:val="00FF5759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5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107021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7AE"/>
    <w:rPr>
      <w:kern w:val="2"/>
    </w:rPr>
  </w:style>
  <w:style w:type="paragraph" w:styleId="Footer">
    <w:name w:val="footer"/>
    <w:basedOn w:val="Normal"/>
    <w:link w:val="FooterChar"/>
    <w:uiPriority w:val="99"/>
    <w:rsid w:val="00730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7AE"/>
    <w:rPr>
      <w:kern w:val="2"/>
    </w:rPr>
  </w:style>
  <w:style w:type="paragraph" w:styleId="ListParagraph">
    <w:name w:val="List Paragraph"/>
    <w:basedOn w:val="Normal"/>
    <w:uiPriority w:val="99"/>
    <w:qFormat/>
    <w:rsid w:val="00133762"/>
    <w:pPr>
      <w:ind w:leftChars="200" w:left="480"/>
    </w:pPr>
  </w:style>
  <w:style w:type="paragraph" w:customStyle="1" w:styleId="Default">
    <w:name w:val="Default"/>
    <w:uiPriority w:val="99"/>
    <w:rsid w:val="0090132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58E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8E9"/>
    <w:rPr>
      <w:rFonts w:ascii="Cambria" w:eastAsia="新細明體" w:hAnsi="Cambria" w:cs="Cambria"/>
      <w:kern w:val="2"/>
      <w:sz w:val="18"/>
      <w:szCs w:val="18"/>
    </w:rPr>
  </w:style>
  <w:style w:type="paragraph" w:styleId="NoSpacing">
    <w:name w:val="No Spacing"/>
    <w:uiPriority w:val="99"/>
    <w:qFormat/>
    <w:rsid w:val="00045A3D"/>
    <w:pPr>
      <w:widowControl w:val="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rsid w:val="00BF6E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F6E0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E08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E0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B02D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2DD"/>
    <w:rPr>
      <w:kern w:val="2"/>
    </w:rPr>
  </w:style>
  <w:style w:type="character" w:styleId="FootnoteReference">
    <w:name w:val="footnote reference"/>
    <w:basedOn w:val="DefaultParagraphFont"/>
    <w:uiPriority w:val="99"/>
    <w:semiHidden/>
    <w:rsid w:val="001B02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B02D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02DD"/>
    <w:rPr>
      <w:kern w:val="2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1B0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35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3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35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3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35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435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4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627</Words>
  <Characters>3574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人體研究取得原住民族同意實施辦法(草案)總說明</dc:title>
  <dc:subject/>
  <dc:creator>kasu</dc:creator>
  <cp:keywords/>
  <dc:description/>
  <cp:lastModifiedBy>user</cp:lastModifiedBy>
  <cp:revision>2</cp:revision>
  <cp:lastPrinted>2014-12-23T09:37:00Z</cp:lastPrinted>
  <dcterms:created xsi:type="dcterms:W3CDTF">2015-01-30T02:17:00Z</dcterms:created>
  <dcterms:modified xsi:type="dcterms:W3CDTF">2015-01-30T02:17:00Z</dcterms:modified>
</cp:coreProperties>
</file>