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60" w:rsidRPr="000D0994" w:rsidRDefault="002D688C" w:rsidP="00A84360">
      <w:pPr>
        <w:adjustRightInd w:val="0"/>
        <w:snapToGrid w:val="0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一</w:t>
      </w:r>
      <w:r w:rsidR="00A84360" w:rsidRPr="000D0994"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、</w:t>
      </w:r>
      <w:r w:rsidR="00A84360" w:rsidRPr="000D0994">
        <w:rPr>
          <w:rFonts w:eastAsia="標楷體"/>
          <w:b/>
          <w:color w:val="000000"/>
          <w:sz w:val="28"/>
          <w:szCs w:val="28"/>
        </w:rPr>
        <w:t>豆科作物薊馬類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1"/>
        <w:gridCol w:w="13"/>
        <w:gridCol w:w="1309"/>
        <w:gridCol w:w="8"/>
        <w:gridCol w:w="1311"/>
        <w:gridCol w:w="2696"/>
        <w:gridCol w:w="17"/>
        <w:gridCol w:w="2677"/>
      </w:tblGrid>
      <w:tr w:rsidR="00A84360" w:rsidRPr="000D0994" w:rsidTr="00335846">
        <w:trPr>
          <w:tblHeader/>
        </w:trPr>
        <w:tc>
          <w:tcPr>
            <w:tcW w:w="1190" w:type="pct"/>
            <w:gridSpan w:val="2"/>
            <w:vAlign w:val="center"/>
          </w:tcPr>
          <w:p w:rsidR="00A84360" w:rsidRPr="000D0994" w:rsidRDefault="00A84360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劑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22" w:type="pct"/>
            <w:vAlign w:val="center"/>
          </w:tcPr>
          <w:p w:rsidR="00A84360" w:rsidRPr="000D0994" w:rsidRDefault="00A84360" w:rsidP="00335846">
            <w:pPr>
              <w:pStyle w:val="a5"/>
              <w:snapToGrid w:val="0"/>
              <w:spacing w:line="400" w:lineRule="exact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627" w:type="pct"/>
            <w:gridSpan w:val="2"/>
            <w:vAlign w:val="center"/>
          </w:tcPr>
          <w:p w:rsidR="00A84360" w:rsidRPr="000D0994" w:rsidRDefault="00A84360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稀釋倍數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281" w:type="pct"/>
            <w:vAlign w:val="center"/>
          </w:tcPr>
          <w:p w:rsidR="00A84360" w:rsidRPr="000D0994" w:rsidRDefault="00A84360" w:rsidP="00171234">
            <w:pPr>
              <w:pStyle w:val="a5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280" w:type="pct"/>
            <w:gridSpan w:val="2"/>
            <w:vAlign w:val="center"/>
          </w:tcPr>
          <w:p w:rsidR="00A84360" w:rsidRPr="000D0994" w:rsidRDefault="00A84360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注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意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事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</w:tr>
      <w:tr w:rsidR="00A84360" w:rsidRPr="000D0994" w:rsidTr="00335846">
        <w:trPr>
          <w:cantSplit/>
        </w:trPr>
        <w:tc>
          <w:tcPr>
            <w:tcW w:w="1190" w:type="pct"/>
            <w:gridSpan w:val="2"/>
            <w:vAlign w:val="center"/>
          </w:tcPr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11.7%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賜諾特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SC</w:t>
            </w:r>
          </w:p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(spinetoram)</w:t>
            </w:r>
          </w:p>
        </w:tc>
        <w:tc>
          <w:tcPr>
            <w:tcW w:w="622" w:type="pct"/>
            <w:vAlign w:val="center"/>
          </w:tcPr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0.06-0.1</w:t>
            </w:r>
            <w:r w:rsidR="00335846">
              <w:rPr>
                <w:rFonts w:ascii="Times New Roman" w:hint="eastAsia"/>
                <w:color w:val="000000"/>
                <w:sz w:val="28"/>
                <w:szCs w:val="28"/>
              </w:rPr>
              <w:br/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gridSpan w:val="2"/>
            <w:vAlign w:val="center"/>
          </w:tcPr>
          <w:p w:rsidR="00A84360" w:rsidRPr="000D0994" w:rsidRDefault="00A84360" w:rsidP="00171234">
            <w:pPr>
              <w:pStyle w:val="a3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8,000</w:t>
            </w:r>
          </w:p>
        </w:tc>
        <w:tc>
          <w:tcPr>
            <w:tcW w:w="1281" w:type="pct"/>
            <w:vAlign w:val="center"/>
          </w:tcPr>
          <w:p w:rsidR="00A84360" w:rsidRPr="000D0994" w:rsidRDefault="00A84360" w:rsidP="002D688C">
            <w:pPr>
              <w:pStyle w:val="a3"/>
              <w:snapToGrid w:val="0"/>
              <w:spacing w:line="400" w:lineRule="exact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hAnsi="標楷體" w:hint="eastAsia"/>
                <w:color w:val="000000"/>
                <w:sz w:val="28"/>
                <w:szCs w:val="28"/>
              </w:rPr>
              <w:t>害蟲發生時開始施藥，必要時隔7天再施藥1次。</w:t>
            </w:r>
          </w:p>
        </w:tc>
        <w:tc>
          <w:tcPr>
            <w:tcW w:w="1280" w:type="pct"/>
            <w:gridSpan w:val="2"/>
            <w:vAlign w:val="center"/>
          </w:tcPr>
          <w:p w:rsidR="00A84360" w:rsidRPr="000D0994" w:rsidRDefault="00A84360" w:rsidP="0017123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小葉菜類、豆菜類及根莖菜類採收前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4360" w:rsidRPr="000D0994" w:rsidTr="00335846">
        <w:trPr>
          <w:cantSplit/>
        </w:trPr>
        <w:tc>
          <w:tcPr>
            <w:tcW w:w="1190" w:type="pct"/>
            <w:gridSpan w:val="2"/>
            <w:vAlign w:val="center"/>
          </w:tcPr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5.87%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賜諾特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SC</w:t>
            </w:r>
          </w:p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(spinetoram)</w:t>
            </w:r>
          </w:p>
        </w:tc>
        <w:tc>
          <w:tcPr>
            <w:tcW w:w="622" w:type="pct"/>
            <w:vAlign w:val="center"/>
          </w:tcPr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0.12-0.2</w:t>
            </w:r>
            <w:r w:rsidR="00335846">
              <w:rPr>
                <w:rFonts w:ascii="Times New Roman" w:hint="eastAsia"/>
                <w:color w:val="000000"/>
                <w:sz w:val="28"/>
                <w:szCs w:val="28"/>
              </w:rPr>
              <w:br/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gridSpan w:val="2"/>
            <w:vAlign w:val="center"/>
          </w:tcPr>
          <w:p w:rsidR="00A84360" w:rsidRPr="000D0994" w:rsidRDefault="00A84360" w:rsidP="00171234">
            <w:pPr>
              <w:pStyle w:val="a3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81" w:type="pct"/>
            <w:vAlign w:val="center"/>
          </w:tcPr>
          <w:p w:rsidR="00A84360" w:rsidRPr="000D0994" w:rsidRDefault="00A84360" w:rsidP="002D688C">
            <w:pPr>
              <w:pStyle w:val="a3"/>
              <w:snapToGrid w:val="0"/>
              <w:spacing w:line="400" w:lineRule="exact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hAnsi="標楷體" w:hint="eastAsia"/>
                <w:color w:val="000000"/>
                <w:sz w:val="28"/>
                <w:szCs w:val="28"/>
              </w:rPr>
              <w:t>害蟲發生時開始施藥，必要時隔7天再施藥1次。</w:t>
            </w:r>
          </w:p>
        </w:tc>
        <w:tc>
          <w:tcPr>
            <w:tcW w:w="1280" w:type="pct"/>
            <w:gridSpan w:val="2"/>
            <w:vAlign w:val="center"/>
          </w:tcPr>
          <w:p w:rsidR="00A84360" w:rsidRPr="000D0994" w:rsidRDefault="00A84360" w:rsidP="00171234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小葉菜類、豆菜類及根莖菜類採收前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9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4360" w:rsidRPr="000D0994" w:rsidTr="00335846">
        <w:trPr>
          <w:cantSplit/>
        </w:trPr>
        <w:tc>
          <w:tcPr>
            <w:tcW w:w="1184" w:type="pct"/>
            <w:vAlign w:val="center"/>
          </w:tcPr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20% 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亞滅培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SP</w:t>
            </w:r>
          </w:p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(acetamiprid)</w:t>
            </w:r>
          </w:p>
        </w:tc>
        <w:tc>
          <w:tcPr>
            <w:tcW w:w="632" w:type="pct"/>
            <w:gridSpan w:val="3"/>
            <w:vAlign w:val="center"/>
          </w:tcPr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0.1-0.2</w:t>
            </w:r>
          </w:p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623" w:type="pct"/>
            <w:vAlign w:val="center"/>
          </w:tcPr>
          <w:p w:rsidR="00A84360" w:rsidRPr="000D0994" w:rsidRDefault="00A84360" w:rsidP="00A84360">
            <w:pPr>
              <w:pStyle w:val="a3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4,000</w:t>
            </w:r>
          </w:p>
        </w:tc>
        <w:tc>
          <w:tcPr>
            <w:tcW w:w="1289" w:type="pct"/>
            <w:gridSpan w:val="2"/>
            <w:vAlign w:val="center"/>
          </w:tcPr>
          <w:p w:rsidR="00A84360" w:rsidRPr="000D0994" w:rsidRDefault="00A84360" w:rsidP="002D688C">
            <w:pPr>
              <w:snapToGrid w:val="0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次</w:t>
            </w:r>
            <w:r w:rsidRPr="000D0994">
              <w:rPr>
                <w:rFonts w:eastAsia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272" w:type="pct"/>
            <w:vAlign w:val="center"/>
          </w:tcPr>
          <w:p w:rsidR="00A84360" w:rsidRPr="000D0994" w:rsidRDefault="00A84360" w:rsidP="00335846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小葉菜類採收前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</w:t>
            </w:r>
            <w:r w:rsidR="008A36D8" w:rsidRPr="000D0994">
              <w:rPr>
                <w:rFonts w:eastAsia="標楷體"/>
                <w:color w:val="000000"/>
                <w:sz w:val="28"/>
                <w:szCs w:val="28"/>
              </w:rPr>
              <w:t>豆菜類及根莖菜類採收前</w:t>
            </w:r>
            <w:r w:rsidR="008A36D8" w:rsidRPr="000D0994">
              <w:rPr>
                <w:rFonts w:eastAsia="標楷體"/>
                <w:color w:val="000000"/>
                <w:sz w:val="28"/>
                <w:szCs w:val="28"/>
              </w:rPr>
              <w:t>6</w:t>
            </w:r>
            <w:r w:rsidR="008A36D8" w:rsidRPr="000D0994">
              <w:rPr>
                <w:rFonts w:eastAsia="標楷體"/>
                <w:color w:val="000000"/>
                <w:sz w:val="28"/>
                <w:szCs w:val="28"/>
              </w:rPr>
              <w:t>天</w:t>
            </w:r>
            <w:r w:rsidR="008A36D8">
              <w:rPr>
                <w:rFonts w:eastAsia="標楷體" w:hint="eastAsia"/>
                <w:color w:val="000000"/>
                <w:sz w:val="28"/>
                <w:szCs w:val="28"/>
              </w:rPr>
              <w:t>、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</w:tc>
      </w:tr>
      <w:tr w:rsidR="00A84360" w:rsidRPr="000D0994" w:rsidTr="00335846">
        <w:trPr>
          <w:cantSplit/>
        </w:trPr>
        <w:tc>
          <w:tcPr>
            <w:tcW w:w="1184" w:type="pct"/>
            <w:vAlign w:val="center"/>
          </w:tcPr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43% 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佈飛松</w:t>
            </w: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 xml:space="preserve"> EC</w:t>
            </w:r>
          </w:p>
          <w:p w:rsidR="00A84360" w:rsidRPr="000D0994" w:rsidRDefault="00A84360" w:rsidP="00171234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kern w:val="0"/>
                <w:sz w:val="28"/>
                <w:szCs w:val="28"/>
              </w:rPr>
              <w:t>(profenofos)</w:t>
            </w:r>
          </w:p>
        </w:tc>
        <w:tc>
          <w:tcPr>
            <w:tcW w:w="632" w:type="pct"/>
            <w:gridSpan w:val="3"/>
            <w:vAlign w:val="center"/>
          </w:tcPr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0.6-1</w:t>
            </w:r>
          </w:p>
          <w:p w:rsidR="00A84360" w:rsidRPr="000D0994" w:rsidRDefault="00A84360" w:rsidP="00335846">
            <w:pPr>
              <w:pStyle w:val="a5"/>
              <w:ind w:left="-28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3" w:type="pct"/>
            <w:vAlign w:val="center"/>
          </w:tcPr>
          <w:p w:rsidR="00A84360" w:rsidRPr="000D0994" w:rsidRDefault="00A84360" w:rsidP="00A84360">
            <w:pPr>
              <w:pStyle w:val="a3"/>
              <w:snapToGrid w:val="0"/>
              <w:spacing w:line="400" w:lineRule="exact"/>
              <w:jc w:val="center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289" w:type="pct"/>
            <w:gridSpan w:val="2"/>
            <w:vAlign w:val="center"/>
          </w:tcPr>
          <w:p w:rsidR="00A84360" w:rsidRPr="000D0994" w:rsidRDefault="00A84360" w:rsidP="002D688C">
            <w:pPr>
              <w:snapToGrid w:val="0"/>
              <w:spacing w:line="400" w:lineRule="exact"/>
              <w:jc w:val="both"/>
              <w:rPr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72" w:type="pct"/>
            <w:vAlign w:val="center"/>
          </w:tcPr>
          <w:p w:rsidR="00A84360" w:rsidRPr="00A84360" w:rsidRDefault="00A84360" w:rsidP="00A84360">
            <w:pPr>
              <w:snapToGrid w:val="0"/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小葉菜類採收前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7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天、豆菜類及乾豆類採收前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10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天、根莖菜類採收前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12</w:t>
            </w:r>
            <w:r w:rsidRPr="00A84360">
              <w:rPr>
                <w:rFonts w:eastAsia="標楷體" w:hint="eastAsia"/>
                <w:color w:val="000000"/>
                <w:sz w:val="28"/>
                <w:szCs w:val="28"/>
              </w:rPr>
              <w:t>天停止施藥。</w:t>
            </w:r>
          </w:p>
        </w:tc>
      </w:tr>
    </w:tbl>
    <w:p w:rsidR="00A84360" w:rsidRDefault="00335846" w:rsidP="00A84360">
      <w:pPr>
        <w:rPr>
          <w:color w:val="000000"/>
        </w:rPr>
      </w:pPr>
      <w:r>
        <w:rPr>
          <w:rFonts w:eastAsia="標楷體" w:hAnsi="標楷體" w:hint="eastAsia"/>
          <w:sz w:val="28"/>
          <w:szCs w:val="28"/>
        </w:rPr>
        <w:t>備註：</w:t>
      </w:r>
      <w:r w:rsidRPr="00B202D0">
        <w:rPr>
          <w:rFonts w:eastAsia="標楷體" w:hAnsi="標楷體"/>
          <w:sz w:val="28"/>
          <w:szCs w:val="28"/>
        </w:rPr>
        <w:t>豆科作物包含豆科小葉菜類、豆科豆菜類、豆科根菜類、豆科乾豆類</w:t>
      </w:r>
      <w:r>
        <w:rPr>
          <w:rFonts w:eastAsia="標楷體" w:hint="eastAsia"/>
          <w:sz w:val="28"/>
          <w:szCs w:val="28"/>
        </w:rPr>
        <w:t>等。</w:t>
      </w:r>
    </w:p>
    <w:p w:rsidR="002D688C" w:rsidRDefault="002D688C" w:rsidP="00A84360">
      <w:pPr>
        <w:rPr>
          <w:color w:val="000000"/>
        </w:rPr>
      </w:pPr>
    </w:p>
    <w:p w:rsidR="002D688C" w:rsidRDefault="002D688C">
      <w:pPr>
        <w:widowControl/>
        <w:rPr>
          <w:color w:val="000000"/>
        </w:rPr>
      </w:pPr>
      <w:r>
        <w:rPr>
          <w:color w:val="000000"/>
        </w:rPr>
        <w:br w:type="page"/>
      </w:r>
    </w:p>
    <w:p w:rsidR="00335846" w:rsidRDefault="00335846">
      <w:pPr>
        <w:widowControl/>
        <w:rPr>
          <w:rFonts w:ascii="標楷體" w:eastAsia="標楷體" w:hAnsi="標楷體" w:cs="新細明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lastRenderedPageBreak/>
        <w:t>二、</w:t>
      </w:r>
      <w:r w:rsidRPr="00335846">
        <w:rPr>
          <w:rFonts w:eastAsia="標楷體" w:hAnsi="標楷體"/>
          <w:b/>
          <w:sz w:val="28"/>
          <w:szCs w:val="28"/>
        </w:rPr>
        <w:t>豆科豆菜類、豆科根菜類、豆科乾豆類</w:t>
      </w:r>
      <w:r w:rsidRPr="000D0994">
        <w:rPr>
          <w:rFonts w:eastAsia="標楷體"/>
          <w:b/>
          <w:color w:val="000000"/>
          <w:sz w:val="28"/>
          <w:szCs w:val="28"/>
        </w:rPr>
        <w:t>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04"/>
        <w:gridCol w:w="1309"/>
        <w:gridCol w:w="1319"/>
        <w:gridCol w:w="2696"/>
        <w:gridCol w:w="2694"/>
      </w:tblGrid>
      <w:tr w:rsidR="00335846" w:rsidRPr="000D0994" w:rsidTr="00A06ED2">
        <w:trPr>
          <w:cantSplit/>
        </w:trPr>
        <w:tc>
          <w:tcPr>
            <w:tcW w:w="1190" w:type="pct"/>
            <w:vAlign w:val="center"/>
          </w:tcPr>
          <w:p w:rsidR="00335846" w:rsidRPr="000D0994" w:rsidRDefault="00335846" w:rsidP="00A06ED2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2.8%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畢芬寧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EC</w:t>
            </w:r>
          </w:p>
          <w:p w:rsidR="00335846" w:rsidRPr="000D0994" w:rsidRDefault="00335846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(bifenthrin)</w:t>
            </w:r>
          </w:p>
        </w:tc>
        <w:tc>
          <w:tcPr>
            <w:tcW w:w="622" w:type="pct"/>
            <w:vAlign w:val="center"/>
          </w:tcPr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0.5-0.8</w:t>
            </w:r>
          </w:p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vAlign w:val="center"/>
          </w:tcPr>
          <w:p w:rsidR="00335846" w:rsidRPr="000D0994" w:rsidRDefault="00335846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1" w:type="pct"/>
            <w:vAlign w:val="center"/>
          </w:tcPr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Chars="71" w:left="170" w:rightChars="25" w:right="60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vAlign w:val="center"/>
          </w:tcPr>
          <w:p w:rsidR="00335846" w:rsidRPr="000D0994" w:rsidRDefault="00335846" w:rsidP="00A06ED2">
            <w:pPr>
              <w:pStyle w:val="a6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天、豆菜類採收前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  <w:p w:rsidR="00335846" w:rsidRPr="000D0994" w:rsidRDefault="00335846" w:rsidP="00A06ED2">
            <w:pPr>
              <w:pStyle w:val="a6"/>
              <w:numPr>
                <w:ilvl w:val="0"/>
                <w:numId w:val="3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禁止使用於豆苗。</w:t>
            </w:r>
          </w:p>
        </w:tc>
      </w:tr>
      <w:tr w:rsidR="00335846" w:rsidRPr="000D0994" w:rsidTr="00A06ED2">
        <w:trPr>
          <w:cantSplit/>
        </w:trPr>
        <w:tc>
          <w:tcPr>
            <w:tcW w:w="1190" w:type="pct"/>
            <w:vAlign w:val="center"/>
          </w:tcPr>
          <w:p w:rsidR="00335846" w:rsidRPr="000D0994" w:rsidRDefault="00335846" w:rsidP="00A06ED2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2.5%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畢芬寧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SC</w:t>
            </w:r>
          </w:p>
          <w:p w:rsidR="00335846" w:rsidRPr="000D0994" w:rsidRDefault="00335846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(bifenthrin)</w:t>
            </w:r>
          </w:p>
        </w:tc>
        <w:tc>
          <w:tcPr>
            <w:tcW w:w="622" w:type="pct"/>
            <w:vAlign w:val="center"/>
          </w:tcPr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0.5-0.8</w:t>
            </w:r>
          </w:p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公升</w:t>
            </w:r>
          </w:p>
        </w:tc>
        <w:tc>
          <w:tcPr>
            <w:tcW w:w="627" w:type="pct"/>
            <w:vAlign w:val="center"/>
          </w:tcPr>
          <w:p w:rsidR="00335846" w:rsidRPr="000D0994" w:rsidRDefault="00335846" w:rsidP="00A06ED2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1,000</w:t>
            </w:r>
          </w:p>
        </w:tc>
        <w:tc>
          <w:tcPr>
            <w:tcW w:w="1281" w:type="pct"/>
            <w:vAlign w:val="center"/>
          </w:tcPr>
          <w:p w:rsidR="00335846" w:rsidRPr="000D0994" w:rsidRDefault="00335846" w:rsidP="00A06ED2">
            <w:pPr>
              <w:pStyle w:val="a5"/>
              <w:snapToGrid w:val="0"/>
              <w:spacing w:line="400" w:lineRule="exact"/>
              <w:ind w:leftChars="12" w:left="30" w:rightChars="85" w:right="204" w:hanging="1"/>
              <w:jc w:val="both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害蟲發生時開始施藥，必要時隔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7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天施藥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80" w:type="pct"/>
            <w:vAlign w:val="center"/>
          </w:tcPr>
          <w:p w:rsidR="00335846" w:rsidRDefault="00335846" w:rsidP="00A06ED2">
            <w:pPr>
              <w:pStyle w:val="a6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乾豆類採收前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7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天、豆菜類採收前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3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天、根莖菜類採收前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14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  <w:p w:rsidR="00335846" w:rsidRPr="000D0994" w:rsidRDefault="00335846" w:rsidP="00A06ED2">
            <w:pPr>
              <w:pStyle w:val="a6"/>
              <w:numPr>
                <w:ilvl w:val="0"/>
                <w:numId w:val="4"/>
              </w:numPr>
              <w:snapToGrid w:val="0"/>
              <w:spacing w:line="400" w:lineRule="exact"/>
              <w:ind w:leftChars="0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禁止使用於豆苗。</w:t>
            </w:r>
          </w:p>
        </w:tc>
      </w:tr>
    </w:tbl>
    <w:p w:rsidR="00335846" w:rsidRDefault="00335846">
      <w:pPr>
        <w:widowControl/>
        <w:rPr>
          <w:rFonts w:ascii="標楷體" w:eastAsia="標楷體" w:hAnsi="標楷體" w:cs="新細明體"/>
          <w:b/>
          <w:color w:val="000000"/>
          <w:sz w:val="28"/>
          <w:szCs w:val="28"/>
        </w:rPr>
      </w:pPr>
    </w:p>
    <w:p w:rsidR="002D688C" w:rsidRPr="000D0994" w:rsidRDefault="00335846" w:rsidP="002D688C">
      <w:pPr>
        <w:adjustRightInd w:val="0"/>
        <w:snapToGrid w:val="0"/>
        <w:ind w:left="280" w:hangingChars="100" w:hanging="280"/>
        <w:rPr>
          <w:rFonts w:eastAsia="標楷體"/>
          <w:b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000000"/>
          <w:sz w:val="28"/>
          <w:szCs w:val="28"/>
        </w:rPr>
        <w:t>三</w:t>
      </w:r>
      <w:r w:rsidR="002D688C" w:rsidRPr="000D0994">
        <w:rPr>
          <w:rFonts w:ascii="新細明體" w:hAnsi="新細明體" w:cs="新細明體" w:hint="eastAsia"/>
          <w:b/>
          <w:color w:val="000000"/>
          <w:sz w:val="28"/>
          <w:szCs w:val="28"/>
        </w:rPr>
        <w:t>、</w:t>
      </w:r>
      <w:r w:rsidR="002D688C" w:rsidRPr="000D0994">
        <w:rPr>
          <w:rFonts w:eastAsia="標楷體"/>
          <w:b/>
          <w:color w:val="000000"/>
          <w:sz w:val="28"/>
          <w:szCs w:val="28"/>
        </w:rPr>
        <w:t>豆科乾豆類薊馬類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494"/>
        <w:gridCol w:w="1338"/>
        <w:gridCol w:w="1530"/>
        <w:gridCol w:w="2498"/>
        <w:gridCol w:w="2662"/>
      </w:tblGrid>
      <w:tr w:rsidR="002D688C" w:rsidRPr="000D0994" w:rsidTr="00171234">
        <w:trPr>
          <w:tblHeader/>
        </w:trPr>
        <w:tc>
          <w:tcPr>
            <w:tcW w:w="1185" w:type="pct"/>
            <w:vAlign w:val="center"/>
          </w:tcPr>
          <w:p w:rsidR="002D688C" w:rsidRPr="000D0994" w:rsidRDefault="002D688C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藥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劑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稱</w:t>
            </w:r>
          </w:p>
        </w:tc>
        <w:tc>
          <w:tcPr>
            <w:tcW w:w="636" w:type="pct"/>
            <w:vAlign w:val="center"/>
          </w:tcPr>
          <w:p w:rsidR="002D688C" w:rsidRPr="000D0994" w:rsidRDefault="002D688C" w:rsidP="00171234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每公頃每次施藥量</w:t>
            </w:r>
          </w:p>
        </w:tc>
        <w:tc>
          <w:tcPr>
            <w:tcW w:w="727" w:type="pct"/>
            <w:vAlign w:val="center"/>
          </w:tcPr>
          <w:p w:rsidR="002D688C" w:rsidRPr="000D0994" w:rsidRDefault="002D688C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稀釋倍數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br/>
              <w:t>(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1187" w:type="pct"/>
            <w:vAlign w:val="center"/>
          </w:tcPr>
          <w:p w:rsidR="002D688C" w:rsidRPr="000D0994" w:rsidRDefault="002D688C" w:rsidP="00171234">
            <w:pPr>
              <w:pStyle w:val="a5"/>
              <w:snapToGrid w:val="0"/>
              <w:spacing w:line="400" w:lineRule="exact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施藥時期及方法</w:t>
            </w:r>
          </w:p>
        </w:tc>
        <w:tc>
          <w:tcPr>
            <w:tcW w:w="1265" w:type="pct"/>
            <w:vAlign w:val="center"/>
          </w:tcPr>
          <w:p w:rsidR="002D688C" w:rsidRPr="000D0994" w:rsidRDefault="002D688C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注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意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事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項</w:t>
            </w:r>
          </w:p>
        </w:tc>
      </w:tr>
      <w:tr w:rsidR="002D688C" w:rsidRPr="000D0994" w:rsidTr="00171234">
        <w:trPr>
          <w:cantSplit/>
        </w:trPr>
        <w:tc>
          <w:tcPr>
            <w:tcW w:w="1185" w:type="pct"/>
            <w:vAlign w:val="center"/>
          </w:tcPr>
          <w:p w:rsidR="002D688C" w:rsidRPr="000D0994" w:rsidRDefault="002D688C" w:rsidP="00171234">
            <w:pPr>
              <w:adjustRightInd w:val="0"/>
              <w:snapToGrid w:val="0"/>
              <w:ind w:rightChars="10" w:right="24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20%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覆滅</w:t>
            </w:r>
            <w:r w:rsidRPr="000D099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蟎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SP</w:t>
            </w:r>
          </w:p>
          <w:p w:rsidR="002D688C" w:rsidRPr="000D0994" w:rsidRDefault="002D688C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(Formetanate)</w:t>
            </w:r>
          </w:p>
        </w:tc>
        <w:tc>
          <w:tcPr>
            <w:tcW w:w="636" w:type="pct"/>
            <w:vAlign w:val="center"/>
          </w:tcPr>
          <w:p w:rsidR="002D688C" w:rsidRPr="000D0994" w:rsidRDefault="002D688C" w:rsidP="00171234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1.3-2</w:t>
            </w:r>
          </w:p>
          <w:p w:rsidR="002D688C" w:rsidRPr="000D0994" w:rsidRDefault="002D688C" w:rsidP="00171234">
            <w:pPr>
              <w:pStyle w:val="a5"/>
              <w:snapToGrid w:val="0"/>
              <w:spacing w:line="400" w:lineRule="exact"/>
              <w:ind w:left="-28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公斤</w:t>
            </w:r>
          </w:p>
        </w:tc>
        <w:tc>
          <w:tcPr>
            <w:tcW w:w="727" w:type="pct"/>
            <w:vAlign w:val="center"/>
          </w:tcPr>
          <w:p w:rsidR="002D688C" w:rsidRPr="000D0994" w:rsidRDefault="002D688C" w:rsidP="00171234">
            <w:pPr>
              <w:snapToGrid w:val="0"/>
              <w:spacing w:line="400" w:lineRule="exact"/>
              <w:ind w:left="-28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400</w:t>
            </w:r>
          </w:p>
        </w:tc>
        <w:tc>
          <w:tcPr>
            <w:tcW w:w="1187" w:type="pct"/>
            <w:vAlign w:val="center"/>
          </w:tcPr>
          <w:p w:rsidR="002D688C" w:rsidRPr="000D0994" w:rsidRDefault="002D688C" w:rsidP="002D688C">
            <w:pPr>
              <w:pStyle w:val="a5"/>
              <w:snapToGrid w:val="0"/>
              <w:spacing w:line="400" w:lineRule="exact"/>
              <w:ind w:leftChars="21" w:left="50"/>
              <w:rPr>
                <w:rFonts w:ascii="Times New Roman"/>
                <w:color w:val="000000"/>
                <w:sz w:val="28"/>
                <w:szCs w:val="28"/>
              </w:rPr>
            </w:pPr>
            <w:r w:rsidRPr="000D0994">
              <w:rPr>
                <w:rFonts w:ascii="Times New Roman"/>
                <w:color w:val="000000"/>
                <w:sz w:val="28"/>
                <w:szCs w:val="28"/>
              </w:rPr>
              <w:t>害蟲發生時施藥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1</w:t>
            </w:r>
            <w:r w:rsidRPr="000D0994">
              <w:rPr>
                <w:rFonts w:ascii="Times New Roman"/>
                <w:color w:val="000000"/>
                <w:sz w:val="28"/>
                <w:szCs w:val="28"/>
              </w:rPr>
              <w:t>次。</w:t>
            </w:r>
          </w:p>
        </w:tc>
        <w:tc>
          <w:tcPr>
            <w:tcW w:w="1265" w:type="pct"/>
            <w:vAlign w:val="center"/>
          </w:tcPr>
          <w:p w:rsidR="002D688C" w:rsidRPr="000D0994" w:rsidRDefault="002D688C" w:rsidP="00171234">
            <w:pPr>
              <w:pStyle w:val="a6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採收前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21</w:t>
            </w:r>
            <w:r w:rsidRPr="000D0994">
              <w:rPr>
                <w:rFonts w:eastAsia="標楷體"/>
                <w:color w:val="000000"/>
                <w:sz w:val="28"/>
                <w:szCs w:val="28"/>
              </w:rPr>
              <w:t>天停止施藥。</w:t>
            </w:r>
          </w:p>
          <w:p w:rsidR="002D688C" w:rsidRPr="000D0994" w:rsidRDefault="002D688C" w:rsidP="00171234">
            <w:pPr>
              <w:pStyle w:val="a6"/>
              <w:numPr>
                <w:ilvl w:val="0"/>
                <w:numId w:val="1"/>
              </w:numPr>
              <w:snapToGrid w:val="0"/>
              <w:spacing w:line="400" w:lineRule="exact"/>
              <w:ind w:leftChars="0"/>
              <w:rPr>
                <w:rFonts w:eastAsia="標楷體"/>
                <w:color w:val="000000"/>
                <w:sz w:val="28"/>
                <w:szCs w:val="28"/>
              </w:rPr>
            </w:pPr>
            <w:r w:rsidRPr="000D0994">
              <w:rPr>
                <w:rFonts w:eastAsia="標楷體"/>
                <w:color w:val="000000"/>
                <w:sz w:val="28"/>
                <w:szCs w:val="28"/>
              </w:rPr>
              <w:t>提高施用濃度，可能引起藥害發生。</w:t>
            </w:r>
          </w:p>
        </w:tc>
      </w:tr>
    </w:tbl>
    <w:p w:rsidR="00A84360" w:rsidRPr="002D688C" w:rsidRDefault="00A84360" w:rsidP="00A84360">
      <w:pPr>
        <w:spacing w:line="500" w:lineRule="exact"/>
        <w:jc w:val="both"/>
        <w:rPr>
          <w:rFonts w:eastAsia="標楷體"/>
          <w:color w:val="000000"/>
          <w:sz w:val="28"/>
          <w:szCs w:val="28"/>
        </w:rPr>
      </w:pPr>
    </w:p>
    <w:p w:rsidR="0004697B" w:rsidRDefault="0004697B"/>
    <w:sectPr w:rsidR="0004697B" w:rsidSect="002D688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A40" w:rsidRDefault="00AE6A40" w:rsidP="00335846">
      <w:r>
        <w:separator/>
      </w:r>
    </w:p>
  </w:endnote>
  <w:endnote w:type="continuationSeparator" w:id="0">
    <w:p w:rsidR="00AE6A40" w:rsidRDefault="00AE6A40" w:rsidP="00335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A40" w:rsidRDefault="00AE6A40" w:rsidP="00335846">
      <w:r>
        <w:separator/>
      </w:r>
    </w:p>
  </w:footnote>
  <w:footnote w:type="continuationSeparator" w:id="0">
    <w:p w:rsidR="00AE6A40" w:rsidRDefault="00AE6A40" w:rsidP="003358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E1C2D"/>
    <w:multiLevelType w:val="hybridMultilevel"/>
    <w:tmpl w:val="7E3A15A6"/>
    <w:lvl w:ilvl="0" w:tplc="E34EBE78">
      <w:start w:val="1"/>
      <w:numFmt w:val="taiwaneseCountingThousand"/>
      <w:lvlText w:val="(%1)"/>
      <w:lvlJc w:val="left"/>
      <w:pPr>
        <w:ind w:left="1004" w:hanging="720"/>
      </w:pPr>
      <w:rPr>
        <w:rFonts w:ascii="Times New Roman" w:eastAsia="標楷體" w:hAnsi="Times New Roman" w:cs="Times New Roman" w:hint="default"/>
        <w:i w:val="0"/>
        <w:color w:val="7030A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0FD62CF5"/>
    <w:multiLevelType w:val="hybridMultilevel"/>
    <w:tmpl w:val="475C18DE"/>
    <w:lvl w:ilvl="0" w:tplc="8D72C6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745780"/>
    <w:multiLevelType w:val="hybridMultilevel"/>
    <w:tmpl w:val="F1260334"/>
    <w:lvl w:ilvl="0" w:tplc="E63E5C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15A5E19"/>
    <w:multiLevelType w:val="hybridMultilevel"/>
    <w:tmpl w:val="27A6958E"/>
    <w:lvl w:ilvl="0" w:tplc="F084A6FE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4">
    <w:nsid w:val="423F3841"/>
    <w:multiLevelType w:val="hybridMultilevel"/>
    <w:tmpl w:val="50205E0A"/>
    <w:lvl w:ilvl="0" w:tplc="148CA3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7804877"/>
    <w:multiLevelType w:val="hybridMultilevel"/>
    <w:tmpl w:val="0E66AE8A"/>
    <w:lvl w:ilvl="0" w:tplc="B4EA21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D142B1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7">
    <w:nsid w:val="6FC40602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8">
    <w:nsid w:val="75790360"/>
    <w:multiLevelType w:val="hybridMultilevel"/>
    <w:tmpl w:val="6BB680C4"/>
    <w:lvl w:ilvl="0" w:tplc="6F56B588">
      <w:start w:val="1"/>
      <w:numFmt w:val="taiwaneseCountingThousand"/>
      <w:lvlText w:val="(%1)"/>
      <w:lvlJc w:val="left"/>
      <w:pPr>
        <w:ind w:left="1000" w:hanging="720"/>
      </w:pPr>
      <w:rPr>
        <w:rFonts w:ascii="Times New Roman" w:eastAsia="標楷體" w:hAnsi="Times New Roman" w:cs="Times New Roman" w:hint="default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4360"/>
    <w:rsid w:val="0004697B"/>
    <w:rsid w:val="001F5241"/>
    <w:rsid w:val="002D688C"/>
    <w:rsid w:val="00317D5B"/>
    <w:rsid w:val="00335846"/>
    <w:rsid w:val="004A489A"/>
    <w:rsid w:val="004D16CE"/>
    <w:rsid w:val="00557300"/>
    <w:rsid w:val="005E1F36"/>
    <w:rsid w:val="00633873"/>
    <w:rsid w:val="006E47EA"/>
    <w:rsid w:val="0072334B"/>
    <w:rsid w:val="008A36D8"/>
    <w:rsid w:val="00A02C23"/>
    <w:rsid w:val="00A84360"/>
    <w:rsid w:val="00AE6A40"/>
    <w:rsid w:val="00C612B8"/>
    <w:rsid w:val="00F0015F"/>
    <w:rsid w:val="00F05681"/>
    <w:rsid w:val="00FD6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36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一"/>
    <w:basedOn w:val="a"/>
    <w:link w:val="a4"/>
    <w:uiPriority w:val="99"/>
    <w:rsid w:val="00A84360"/>
    <w:pPr>
      <w:adjustRightInd w:val="0"/>
      <w:spacing w:line="360" w:lineRule="atLeast"/>
      <w:textAlignment w:val="baseline"/>
    </w:pPr>
    <w:rPr>
      <w:rFonts w:ascii="標楷體" w:eastAsia="標楷體"/>
      <w:kern w:val="0"/>
      <w:szCs w:val="20"/>
    </w:rPr>
  </w:style>
  <w:style w:type="character" w:customStyle="1" w:styleId="a4">
    <w:name w:val="內文一 字元"/>
    <w:link w:val="a3"/>
    <w:uiPriority w:val="99"/>
    <w:rsid w:val="00A84360"/>
    <w:rPr>
      <w:rFonts w:ascii="標楷體" w:eastAsia="標楷體" w:hAnsi="Times New Roman" w:cs="Times New Roman"/>
      <w:kern w:val="0"/>
      <w:szCs w:val="20"/>
    </w:rPr>
  </w:style>
  <w:style w:type="paragraph" w:customStyle="1" w:styleId="a5">
    <w:name w:val="內文二"/>
    <w:basedOn w:val="a"/>
    <w:rsid w:val="00A84360"/>
    <w:pPr>
      <w:adjustRightInd w:val="0"/>
      <w:spacing w:line="360" w:lineRule="atLeast"/>
      <w:ind w:left="340"/>
      <w:textAlignment w:val="baseline"/>
    </w:pPr>
    <w:rPr>
      <w:rFonts w:ascii="標楷體" w:eastAsia="標楷體"/>
      <w:kern w:val="0"/>
    </w:rPr>
  </w:style>
  <w:style w:type="paragraph" w:styleId="a6">
    <w:name w:val="List Paragraph"/>
    <w:basedOn w:val="a"/>
    <w:uiPriority w:val="34"/>
    <w:qFormat/>
    <w:rsid w:val="00A84360"/>
    <w:pPr>
      <w:ind w:leftChars="200" w:left="480"/>
    </w:pPr>
  </w:style>
  <w:style w:type="paragraph" w:styleId="a7">
    <w:name w:val="header"/>
    <w:basedOn w:val="a"/>
    <w:link w:val="a8"/>
    <w:uiPriority w:val="99"/>
    <w:semiHidden/>
    <w:unhideWhenUsed/>
    <w:rsid w:val="0033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33584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3358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33584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徐裔桀</dc:creator>
  <cp:lastModifiedBy>USER</cp:lastModifiedBy>
  <cp:revision>2</cp:revision>
  <cp:lastPrinted>2015-12-14T00:56:00Z</cp:lastPrinted>
  <dcterms:created xsi:type="dcterms:W3CDTF">2015-12-21T00:29:00Z</dcterms:created>
  <dcterms:modified xsi:type="dcterms:W3CDTF">2015-12-21T00:29:00Z</dcterms:modified>
</cp:coreProperties>
</file>