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BD" w:rsidRDefault="00F026D6" w:rsidP="008953F7">
      <w:pPr>
        <w:spacing w:afterLines="50"/>
        <w:jc w:val="center"/>
        <w:rPr>
          <w:rFonts w:ascii="新細明體" w:eastAsia="標楷體" w:hAnsi="新細明體" w:hint="eastAsia"/>
          <w:sz w:val="32"/>
        </w:rPr>
      </w:pPr>
      <w:r w:rsidRPr="00F026D6">
        <w:rPr>
          <w:rFonts w:eastAsia="標楷體" w:hint="eastAsia"/>
          <w:sz w:val="40"/>
        </w:rPr>
        <w:t>基因改造飼料或飼料添加物許可查驗辦法</w:t>
      </w:r>
    </w:p>
    <w:p w:rsidR="008B61BD" w:rsidRDefault="008B61BD" w:rsidP="00F026D6">
      <w:pPr>
        <w:spacing w:line="560" w:lineRule="exact"/>
        <w:ind w:leftChars="-5" w:left="1271" w:rightChars="-15" w:right="-36" w:hangingChars="401" w:hanging="1283"/>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一</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本辦法依飼料管理法（以下簡稱本法）第十一條之一第四項規定訂定之。</w:t>
      </w:r>
    </w:p>
    <w:p w:rsidR="008953F7" w:rsidRDefault="008953F7" w:rsidP="005C604C">
      <w:pPr>
        <w:spacing w:line="560" w:lineRule="exact"/>
        <w:ind w:leftChars="-5" w:left="1271" w:rightChars="-15" w:right="-36" w:hangingChars="401" w:hanging="1283"/>
        <w:jc w:val="both"/>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二</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依本法第十一條之一第一項申請許可證明文件，或依本法第十一條之一第二項申請飼料用途許可證明文件者，應由其研發業者填具申請書，檢附下列資料，連同資料</w:t>
      </w:r>
      <w:r w:rsidR="005C604C">
        <w:rPr>
          <w:rFonts w:eastAsia="標楷體" w:hint="eastAsia"/>
          <w:sz w:val="32"/>
        </w:rPr>
        <w:t>儲存</w:t>
      </w:r>
      <w:r w:rsidR="00F026D6" w:rsidRPr="00F026D6">
        <w:rPr>
          <w:rFonts w:eastAsia="標楷體" w:hint="eastAsia"/>
          <w:sz w:val="32"/>
        </w:rPr>
        <w:t>之光碟，向中央主管機關提出，並依中央主管機關之通知，於期限內提供繳納費用證明、參考樣品、檢驗方法及其他補充資料：</w:t>
      </w:r>
    </w:p>
    <w:p w:rsidR="00F026D6" w:rsidRDefault="00F026D6" w:rsidP="005C604C">
      <w:pPr>
        <w:spacing w:line="560" w:lineRule="exact"/>
        <w:ind w:leftChars="794" w:left="2552" w:rightChars="-15" w:right="-36" w:hangingChars="202" w:hanging="646"/>
        <w:jc w:val="both"/>
        <w:rPr>
          <w:rFonts w:eastAsia="標楷體" w:hint="eastAsia"/>
          <w:sz w:val="32"/>
        </w:rPr>
      </w:pPr>
      <w:r w:rsidRPr="008953F7">
        <w:rPr>
          <w:rFonts w:eastAsia="標楷體" w:hint="eastAsia"/>
          <w:sz w:val="32"/>
        </w:rPr>
        <w:t>一、</w:t>
      </w:r>
      <w:r w:rsidRPr="00F026D6">
        <w:rPr>
          <w:rFonts w:eastAsia="標楷體" w:hint="eastAsia"/>
          <w:sz w:val="32"/>
        </w:rPr>
        <w:t>研發業者之身分證明文件；其非屬自然人者，應檢附其許可設立或登記證明文件，及負責人之身分證明文件。</w:t>
      </w:r>
    </w:p>
    <w:p w:rsidR="00F026D6" w:rsidRDefault="00F026D6"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二、</w:t>
      </w:r>
      <w:r w:rsidRPr="00F026D6">
        <w:rPr>
          <w:rFonts w:eastAsia="標楷體" w:hint="eastAsia"/>
          <w:sz w:val="32"/>
        </w:rPr>
        <w:t>基因改造飼料或飼料添加物特性基本資料。</w:t>
      </w:r>
    </w:p>
    <w:p w:rsidR="00F026D6" w:rsidRDefault="00F026D6"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三、</w:t>
      </w:r>
      <w:r w:rsidRPr="00F026D6">
        <w:rPr>
          <w:rFonts w:eastAsia="標楷體" w:hint="eastAsia"/>
          <w:sz w:val="32"/>
        </w:rPr>
        <w:t>基因改造飼料或飼料添加物安全性說明書。</w:t>
      </w:r>
    </w:p>
    <w:p w:rsidR="00F026D6" w:rsidRDefault="00F026D6"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四、</w:t>
      </w:r>
      <w:r w:rsidRPr="00F026D6">
        <w:rPr>
          <w:rFonts w:eastAsia="標楷體" w:hint="eastAsia"/>
          <w:sz w:val="32"/>
        </w:rPr>
        <w:t>相關研究報告文獻資料及其一覽表。</w:t>
      </w:r>
    </w:p>
    <w:p w:rsidR="00F026D6" w:rsidRDefault="00F026D6"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五、</w:t>
      </w:r>
      <w:r w:rsidR="005C604C">
        <w:rPr>
          <w:rFonts w:eastAsia="標楷體" w:hint="eastAsia"/>
          <w:sz w:val="32"/>
        </w:rPr>
        <w:t>依</w:t>
      </w:r>
      <w:r w:rsidRPr="00F026D6">
        <w:rPr>
          <w:rFonts w:eastAsia="標楷體" w:hint="eastAsia"/>
          <w:sz w:val="32"/>
        </w:rPr>
        <w:t>本法第十一條之一第二項申請飼料用途許可證明文件者，應檢附基因改造動、植物、微生物等生物</w:t>
      </w:r>
      <w:r w:rsidR="005C604C">
        <w:rPr>
          <w:rFonts w:eastAsia="標楷體" w:hint="eastAsia"/>
          <w:sz w:val="32"/>
        </w:rPr>
        <w:t>，</w:t>
      </w:r>
      <w:r w:rsidRPr="00F026D6">
        <w:rPr>
          <w:rFonts w:eastAsia="標楷體" w:hint="eastAsia"/>
          <w:sz w:val="32"/>
        </w:rPr>
        <w:t>經依法完成田間試驗審查或審議通過及核准種植、養殖之證明文件。</w:t>
      </w:r>
    </w:p>
    <w:p w:rsidR="00F026D6" w:rsidRPr="00F026D6" w:rsidRDefault="00F026D6"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六、</w:t>
      </w:r>
      <w:r w:rsidR="005C604C">
        <w:rPr>
          <w:rFonts w:eastAsia="標楷體" w:hint="eastAsia"/>
          <w:sz w:val="32"/>
        </w:rPr>
        <w:t>國外研發業者委託他人提出申請者，應</w:t>
      </w:r>
      <w:r w:rsidRPr="00F026D6">
        <w:rPr>
          <w:rFonts w:eastAsia="標楷體" w:hint="eastAsia"/>
          <w:sz w:val="32"/>
        </w:rPr>
        <w:t>檢附其委託文件。</w:t>
      </w:r>
    </w:p>
    <w:p w:rsidR="008953F7" w:rsidRDefault="008953F7" w:rsidP="005C604C">
      <w:pPr>
        <w:spacing w:line="560" w:lineRule="exact"/>
        <w:ind w:leftChars="-5" w:left="1271" w:rightChars="-15" w:right="-36" w:hangingChars="401" w:hanging="1283"/>
        <w:jc w:val="both"/>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三</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前條之申請，申請人未繳納費用、提供資料、樣品或有得補正之情形，經中央主管機關通知限期</w:t>
      </w:r>
      <w:r w:rsidR="00F026D6" w:rsidRPr="00F026D6">
        <w:rPr>
          <w:rFonts w:eastAsia="標楷體" w:hint="eastAsia"/>
          <w:sz w:val="32"/>
        </w:rPr>
        <w:lastRenderedPageBreak/>
        <w:t>補正；屆期未補正</w:t>
      </w:r>
      <w:r w:rsidR="005C604C">
        <w:rPr>
          <w:rFonts w:eastAsia="標楷體" w:hint="eastAsia"/>
          <w:sz w:val="32"/>
        </w:rPr>
        <w:t>或補正未完備</w:t>
      </w:r>
      <w:r w:rsidR="00F026D6" w:rsidRPr="00F026D6">
        <w:rPr>
          <w:rFonts w:eastAsia="標楷體" w:hint="eastAsia"/>
          <w:sz w:val="32"/>
        </w:rPr>
        <w:t>者，中央主管機關得不予受理，或依現有資料逕為審查。</w:t>
      </w:r>
    </w:p>
    <w:p w:rsidR="008953F7" w:rsidRPr="008953F7" w:rsidRDefault="008953F7" w:rsidP="008953F7">
      <w:pPr>
        <w:spacing w:line="560" w:lineRule="exact"/>
        <w:ind w:leftChars="-5" w:left="1271" w:rightChars="-15" w:right="-36" w:hangingChars="401" w:hanging="1283"/>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四</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第二條之申請，有下列情形之一者，不予許可：</w:t>
      </w:r>
      <w:r w:rsidR="00F026D6" w:rsidRPr="008953F7">
        <w:rPr>
          <w:rFonts w:eastAsia="標楷體" w:hint="eastAsia"/>
          <w:sz w:val="32"/>
        </w:rPr>
        <w:t xml:space="preserve"> </w:t>
      </w:r>
    </w:p>
    <w:p w:rsidR="005C604C" w:rsidRDefault="008953F7" w:rsidP="005C604C">
      <w:pPr>
        <w:spacing w:line="560" w:lineRule="exact"/>
        <w:ind w:leftChars="794" w:left="2552" w:rightChars="-15" w:right="-36" w:hangingChars="202" w:hanging="646"/>
        <w:jc w:val="both"/>
        <w:rPr>
          <w:rFonts w:eastAsia="標楷體" w:hint="eastAsia"/>
          <w:sz w:val="32"/>
        </w:rPr>
      </w:pPr>
      <w:r w:rsidRPr="008953F7">
        <w:rPr>
          <w:rFonts w:eastAsia="標楷體" w:hint="eastAsia"/>
          <w:sz w:val="32"/>
        </w:rPr>
        <w:t>一、</w:t>
      </w:r>
      <w:r w:rsidR="00F026D6" w:rsidRPr="00F026D6">
        <w:rPr>
          <w:rFonts w:eastAsia="標楷體" w:hint="eastAsia"/>
          <w:sz w:val="32"/>
        </w:rPr>
        <w:t>飼料或飼料添加物未經中央主管機關依本法第三條第一項或</w:t>
      </w:r>
      <w:r w:rsidR="005C604C">
        <w:rPr>
          <w:rFonts w:eastAsia="標楷體" w:hint="eastAsia"/>
          <w:sz w:val="32"/>
        </w:rPr>
        <w:t>第三條之一第一項公告為飼料或飼料添加物。</w:t>
      </w:r>
    </w:p>
    <w:p w:rsidR="008953F7" w:rsidRDefault="005C604C"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二、</w:t>
      </w:r>
      <w:r w:rsidR="00F026D6" w:rsidRPr="00F026D6">
        <w:rPr>
          <w:rFonts w:eastAsia="標楷體" w:hint="eastAsia"/>
          <w:sz w:val="32"/>
        </w:rPr>
        <w:t>經中央主管機關依本法第二十條第一款公告不得使用於飼料或飼料添加物。</w:t>
      </w:r>
    </w:p>
    <w:p w:rsidR="008953F7" w:rsidRPr="008953F7" w:rsidRDefault="005C604C"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三</w:t>
      </w:r>
      <w:r w:rsidR="008953F7">
        <w:rPr>
          <w:rFonts w:eastAsia="標楷體" w:hint="eastAsia"/>
          <w:sz w:val="32"/>
        </w:rPr>
        <w:t>、</w:t>
      </w:r>
      <w:r w:rsidR="00F026D6" w:rsidRPr="00F026D6">
        <w:rPr>
          <w:rFonts w:eastAsia="標楷體" w:hint="eastAsia"/>
          <w:sz w:val="32"/>
        </w:rPr>
        <w:t>基因改造飼料或飼料添加物，</w:t>
      </w:r>
      <w:r>
        <w:rPr>
          <w:rFonts w:eastAsia="標楷體" w:hint="eastAsia"/>
          <w:sz w:val="32"/>
        </w:rPr>
        <w:t>經查驗</w:t>
      </w:r>
      <w:r w:rsidR="00F026D6" w:rsidRPr="00F026D6">
        <w:rPr>
          <w:rFonts w:eastAsia="標楷體" w:hint="eastAsia"/>
          <w:sz w:val="32"/>
        </w:rPr>
        <w:t>其安全性評估不合格</w:t>
      </w:r>
      <w:r w:rsidR="008953F7" w:rsidRPr="008953F7">
        <w:rPr>
          <w:rFonts w:eastAsia="標楷體" w:hint="eastAsia"/>
          <w:sz w:val="32"/>
        </w:rPr>
        <w:t>。</w:t>
      </w:r>
    </w:p>
    <w:p w:rsidR="008953F7" w:rsidRDefault="005C604C"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四</w:t>
      </w:r>
      <w:r w:rsidR="008953F7" w:rsidRPr="008953F7">
        <w:rPr>
          <w:rFonts w:eastAsia="標楷體" w:hint="eastAsia"/>
          <w:sz w:val="32"/>
        </w:rPr>
        <w:t>、</w:t>
      </w:r>
      <w:r w:rsidR="00F026D6" w:rsidRPr="00F026D6">
        <w:rPr>
          <w:rFonts w:eastAsia="標楷體" w:hint="eastAsia"/>
          <w:sz w:val="32"/>
        </w:rPr>
        <w:t>有其他無法補正之缺漏或錯誤，或未依前條規定補正。</w:t>
      </w:r>
    </w:p>
    <w:p w:rsidR="008953F7" w:rsidRDefault="008953F7" w:rsidP="005C604C">
      <w:pPr>
        <w:spacing w:line="560" w:lineRule="exact"/>
        <w:ind w:leftChars="-5" w:left="1271" w:rightChars="-15" w:right="-36" w:hangingChars="401" w:hanging="1283"/>
        <w:jc w:val="both"/>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五</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第二條申請之審核期間，最長為一年六個月。但檢驗方法或安全性評估較為複雜者，經中央主管機關通知申請人後，得延長六個月，並以延長一次為限。</w:t>
      </w:r>
    </w:p>
    <w:p w:rsidR="008953F7" w:rsidRDefault="00F026D6" w:rsidP="00F026D6">
      <w:pPr>
        <w:spacing w:line="560" w:lineRule="exact"/>
        <w:ind w:leftChars="529" w:left="1270" w:rightChars="-15" w:right="-36" w:firstLineChars="206" w:firstLine="659"/>
        <w:jc w:val="both"/>
        <w:rPr>
          <w:rFonts w:eastAsia="標楷體" w:hint="eastAsia"/>
          <w:sz w:val="32"/>
        </w:rPr>
      </w:pPr>
      <w:r w:rsidRPr="00F026D6">
        <w:rPr>
          <w:rFonts w:eastAsia="標楷體" w:hint="eastAsia"/>
          <w:sz w:val="32"/>
        </w:rPr>
        <w:t>前項審核，中央主管機關得邀請相關機關、法人、學校或團體之專家或學者協助。</w:t>
      </w:r>
    </w:p>
    <w:p w:rsidR="008953F7" w:rsidRDefault="008953F7" w:rsidP="005C604C">
      <w:pPr>
        <w:spacing w:line="560" w:lineRule="exact"/>
        <w:ind w:leftChars="-5" w:left="1271" w:rightChars="-15" w:right="-36" w:hangingChars="401" w:hanging="1283"/>
        <w:jc w:val="both"/>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六</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依本法第十一條之一第三項申請展延者，應填具申請書，並檢附下列資料，向中央主管機關提出；其經許可者，由中央主管機關記載於許可證明文件。但已無適當位置可供記載者，應繳納費用，換發許可證明文件：</w:t>
      </w:r>
      <w:r w:rsidR="00F026D6">
        <w:rPr>
          <w:rFonts w:eastAsia="標楷體" w:hint="eastAsia"/>
          <w:sz w:val="32"/>
        </w:rPr>
        <w:t xml:space="preserve"> </w:t>
      </w:r>
    </w:p>
    <w:p w:rsidR="00F026D6" w:rsidRPr="00F026D6" w:rsidRDefault="008953F7" w:rsidP="00F026D6">
      <w:pPr>
        <w:spacing w:line="560" w:lineRule="exact"/>
        <w:ind w:leftChars="794" w:left="2552" w:rightChars="-15" w:right="-36" w:hangingChars="202" w:hanging="646"/>
        <w:rPr>
          <w:rFonts w:eastAsia="標楷體" w:hint="eastAsia"/>
          <w:sz w:val="32"/>
        </w:rPr>
      </w:pPr>
      <w:r w:rsidRPr="008953F7">
        <w:rPr>
          <w:rFonts w:eastAsia="標楷體" w:hint="eastAsia"/>
          <w:sz w:val="32"/>
        </w:rPr>
        <w:t>一、</w:t>
      </w:r>
      <w:r w:rsidR="00F026D6" w:rsidRPr="00F026D6">
        <w:rPr>
          <w:rFonts w:eastAsia="標楷體" w:hint="eastAsia"/>
          <w:sz w:val="32"/>
        </w:rPr>
        <w:t>原許可證明文件。</w:t>
      </w:r>
    </w:p>
    <w:p w:rsidR="00F026D6" w:rsidRPr="00F026D6" w:rsidRDefault="00F026D6" w:rsidP="005C604C">
      <w:pPr>
        <w:spacing w:line="560" w:lineRule="exact"/>
        <w:ind w:leftChars="794" w:left="2552" w:rightChars="-15" w:right="-36" w:hangingChars="202" w:hanging="646"/>
        <w:jc w:val="both"/>
        <w:rPr>
          <w:rFonts w:eastAsia="標楷體" w:hint="eastAsia"/>
          <w:sz w:val="32"/>
        </w:rPr>
      </w:pPr>
      <w:r w:rsidRPr="00F026D6">
        <w:rPr>
          <w:rFonts w:eastAsia="標楷體" w:hint="eastAsia"/>
          <w:sz w:val="32"/>
        </w:rPr>
        <w:lastRenderedPageBreak/>
        <w:t>二、申請前五年內有關該基因改造飼料或飼料添加物安全性之研究報告或文獻。</w:t>
      </w:r>
    </w:p>
    <w:p w:rsidR="00F026D6" w:rsidRPr="00F026D6" w:rsidRDefault="00F026D6" w:rsidP="005C604C">
      <w:pPr>
        <w:spacing w:line="560" w:lineRule="exact"/>
        <w:ind w:leftChars="794" w:left="2552" w:rightChars="-15" w:right="-36" w:hangingChars="202" w:hanging="646"/>
        <w:jc w:val="both"/>
        <w:rPr>
          <w:rFonts w:eastAsia="標楷體" w:hint="eastAsia"/>
          <w:sz w:val="32"/>
        </w:rPr>
      </w:pPr>
      <w:r w:rsidRPr="00F026D6">
        <w:rPr>
          <w:rFonts w:eastAsia="標楷體" w:hint="eastAsia"/>
          <w:sz w:val="32"/>
        </w:rPr>
        <w:t>三、其他中央主管機關指定之補充資料。</w:t>
      </w:r>
    </w:p>
    <w:p w:rsidR="00F026D6" w:rsidRDefault="00F026D6" w:rsidP="00F026D6">
      <w:pPr>
        <w:spacing w:line="560" w:lineRule="exact"/>
        <w:ind w:leftChars="529" w:left="1270" w:rightChars="-15" w:right="-36" w:firstLineChars="206" w:firstLine="659"/>
        <w:jc w:val="both"/>
        <w:rPr>
          <w:rFonts w:eastAsia="標楷體" w:hint="eastAsia"/>
          <w:sz w:val="32"/>
        </w:rPr>
      </w:pPr>
      <w:r w:rsidRPr="00F026D6">
        <w:rPr>
          <w:rFonts w:eastAsia="標楷體" w:hint="eastAsia"/>
          <w:sz w:val="32"/>
        </w:rPr>
        <w:t>本法第十一條之一第一項及第二項所定許可證明文件遺失或損壞者，應敘明理由，並繳納費用，向原核發機關申請補發或換發。</w:t>
      </w:r>
    </w:p>
    <w:p w:rsidR="00F026D6" w:rsidRDefault="00F026D6" w:rsidP="00F026D6">
      <w:pPr>
        <w:spacing w:line="560" w:lineRule="exact"/>
        <w:ind w:leftChars="529" w:left="1270" w:rightChars="-15" w:right="-36" w:firstLineChars="206" w:firstLine="659"/>
        <w:jc w:val="both"/>
        <w:rPr>
          <w:rFonts w:eastAsia="標楷體" w:hint="eastAsia"/>
          <w:sz w:val="32"/>
        </w:rPr>
      </w:pPr>
      <w:r w:rsidRPr="00F026D6">
        <w:rPr>
          <w:rFonts w:eastAsia="標楷體" w:hint="eastAsia"/>
          <w:sz w:val="32"/>
        </w:rPr>
        <w:t>本法第十一條之一第一項及第二項所定許可證明文件記載事項變更者，應於事實發生之日起二個月內，填具申請書，並檢附原許可證明文件及變更事實之證明文件，向中央主管機關申請變更；經同意變更者，由中央主管機關記載於許可證明文件。但已無適當位置可供記載者，應繳納費用並檢附原許可證明文件，換發許可證明文件。</w:t>
      </w:r>
    </w:p>
    <w:p w:rsidR="008953F7" w:rsidRPr="008953F7" w:rsidRDefault="008953F7" w:rsidP="008953F7">
      <w:pPr>
        <w:spacing w:line="560" w:lineRule="exact"/>
        <w:ind w:leftChars="-5" w:left="1271" w:rightChars="-15" w:right="-36" w:hangingChars="401" w:hanging="1283"/>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七</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依第二條申請之基因改造飼料或飼料添加物，有下列情形之一者，得經中央主管機關同意，免實施安全性評估：</w:t>
      </w:r>
    </w:p>
    <w:p w:rsidR="008953F7" w:rsidRDefault="008953F7" w:rsidP="005C604C">
      <w:pPr>
        <w:spacing w:line="560" w:lineRule="exact"/>
        <w:ind w:leftChars="794" w:left="2552" w:rightChars="-15" w:right="-36" w:hangingChars="202" w:hanging="646"/>
        <w:jc w:val="both"/>
        <w:rPr>
          <w:rFonts w:eastAsia="標楷體" w:hint="eastAsia"/>
          <w:sz w:val="32"/>
        </w:rPr>
      </w:pPr>
      <w:r w:rsidRPr="008953F7">
        <w:rPr>
          <w:rFonts w:eastAsia="標楷體" w:hint="eastAsia"/>
          <w:sz w:val="32"/>
        </w:rPr>
        <w:t>一、</w:t>
      </w:r>
      <w:r w:rsidR="00F026D6" w:rsidRPr="00F026D6">
        <w:rPr>
          <w:rFonts w:eastAsia="標楷體" w:hint="eastAsia"/>
          <w:sz w:val="32"/>
        </w:rPr>
        <w:t>於本辦法施行前，經中央衛生主管機關依食品安全衛生管理法第二十一條第二項及其相關法令規定</w:t>
      </w:r>
      <w:r w:rsidR="005C604C">
        <w:rPr>
          <w:rFonts w:eastAsia="標楷體" w:hint="eastAsia"/>
          <w:sz w:val="32"/>
        </w:rPr>
        <w:t>，發給</w:t>
      </w:r>
      <w:r w:rsidR="00F026D6" w:rsidRPr="00F026D6">
        <w:rPr>
          <w:rFonts w:eastAsia="標楷體" w:hint="eastAsia"/>
          <w:sz w:val="32"/>
        </w:rPr>
        <w:t>基因改造食品許可證明文件</w:t>
      </w:r>
      <w:r w:rsidR="00F026D6">
        <w:rPr>
          <w:rFonts w:eastAsia="標楷體" w:hint="eastAsia"/>
          <w:sz w:val="32"/>
        </w:rPr>
        <w:t>。</w:t>
      </w:r>
    </w:p>
    <w:p w:rsidR="00033BB3" w:rsidRDefault="00033BB3" w:rsidP="005C604C">
      <w:pPr>
        <w:spacing w:line="560" w:lineRule="exact"/>
        <w:ind w:leftChars="794" w:left="2552" w:rightChars="-15" w:right="-36" w:hangingChars="202" w:hanging="646"/>
        <w:jc w:val="both"/>
        <w:rPr>
          <w:rFonts w:eastAsia="標楷體" w:hint="eastAsia"/>
          <w:sz w:val="32"/>
        </w:rPr>
      </w:pPr>
      <w:r>
        <w:rPr>
          <w:rFonts w:eastAsia="標楷體" w:hint="eastAsia"/>
          <w:sz w:val="32"/>
        </w:rPr>
        <w:t>二</w:t>
      </w:r>
      <w:r w:rsidRPr="008953F7">
        <w:rPr>
          <w:rFonts w:eastAsia="標楷體" w:hint="eastAsia"/>
          <w:sz w:val="32"/>
        </w:rPr>
        <w:t>、</w:t>
      </w:r>
      <w:r w:rsidR="00F026D6" w:rsidRPr="00F026D6">
        <w:rPr>
          <w:rFonts w:eastAsia="標楷體" w:hint="eastAsia"/>
          <w:sz w:val="32"/>
        </w:rPr>
        <w:t>於本辦法施行前，依食品安全衛生管理法第二十一條第二項及其相關法令規定</w:t>
      </w:r>
      <w:r w:rsidR="005C604C">
        <w:rPr>
          <w:rFonts w:eastAsia="標楷體" w:hint="eastAsia"/>
          <w:sz w:val="32"/>
        </w:rPr>
        <w:t>，</w:t>
      </w:r>
      <w:r w:rsidR="00F026D6" w:rsidRPr="00F026D6">
        <w:rPr>
          <w:rFonts w:eastAsia="標楷體" w:hint="eastAsia"/>
          <w:sz w:val="32"/>
        </w:rPr>
        <w:t>向中央衛生主管機關申請基因改造食品查驗登記，且於本辦法施行後取得基因改造食</w:t>
      </w:r>
      <w:r w:rsidR="00F026D6" w:rsidRPr="00F026D6">
        <w:rPr>
          <w:rFonts w:eastAsia="標楷體" w:hint="eastAsia"/>
          <w:sz w:val="32"/>
        </w:rPr>
        <w:lastRenderedPageBreak/>
        <w:t>品許可證明文件。</w:t>
      </w:r>
    </w:p>
    <w:p w:rsidR="00033BB3" w:rsidRDefault="00033BB3" w:rsidP="005C604C">
      <w:pPr>
        <w:spacing w:line="560" w:lineRule="exact"/>
        <w:ind w:leftChars="-5" w:left="1271" w:rightChars="-15" w:right="-36" w:hangingChars="401" w:hanging="1283"/>
        <w:jc w:val="both"/>
        <w:rPr>
          <w:rFonts w:eastAsia="標楷體" w:hint="eastAsia"/>
          <w:sz w:val="32"/>
        </w:rPr>
      </w:pPr>
      <w:r>
        <w:rPr>
          <w:rFonts w:eastAsia="標楷體" w:hint="eastAsia"/>
          <w:sz w:val="32"/>
        </w:rPr>
        <w:t>第</w:t>
      </w:r>
      <w:r>
        <w:rPr>
          <w:rFonts w:eastAsia="標楷體" w:hint="eastAsia"/>
          <w:sz w:val="32"/>
        </w:rPr>
        <w:t xml:space="preserve"> </w:t>
      </w:r>
      <w:r>
        <w:rPr>
          <w:rFonts w:eastAsia="標楷體" w:hint="eastAsia"/>
          <w:sz w:val="32"/>
        </w:rPr>
        <w:t>八</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依本辦法規定應檢附之文件或資料非以中文或英文製作者，應附繳中文或英文譯本。</w:t>
      </w:r>
    </w:p>
    <w:p w:rsidR="00033BB3" w:rsidRPr="008953F7" w:rsidRDefault="00F026D6" w:rsidP="00F026D6">
      <w:pPr>
        <w:spacing w:line="560" w:lineRule="exact"/>
        <w:ind w:leftChars="529" w:left="1270" w:rightChars="-15" w:right="-36" w:firstLineChars="206" w:firstLine="659"/>
        <w:jc w:val="both"/>
        <w:rPr>
          <w:rFonts w:eastAsia="標楷體" w:hint="eastAsia"/>
          <w:sz w:val="32"/>
        </w:rPr>
      </w:pPr>
      <w:r w:rsidRPr="00F026D6">
        <w:rPr>
          <w:rFonts w:eastAsia="標楷體" w:hint="eastAsia"/>
          <w:sz w:val="32"/>
        </w:rPr>
        <w:t>依本辦法規定應檢附之文件或資料屬國外政府出具者，應經我國駐外使領館、代表處、辦事處或其他外交部授權機構驗證；其屬香港、澳門或大陸地區主管機關出具者，應經行政院設立或指定之機構或委託之民間團體驗證。</w:t>
      </w:r>
    </w:p>
    <w:p w:rsidR="00033BB3" w:rsidRDefault="00033BB3" w:rsidP="00E43D2E">
      <w:pPr>
        <w:spacing w:line="560" w:lineRule="exact"/>
        <w:ind w:leftChars="-5" w:left="1271" w:rightChars="-15" w:right="-36" w:hangingChars="401" w:hanging="1283"/>
        <w:rPr>
          <w:rFonts w:eastAsia="標楷體" w:hint="eastAsia"/>
          <w:sz w:val="32"/>
        </w:rPr>
      </w:pPr>
      <w:r>
        <w:rPr>
          <w:rFonts w:eastAsia="標楷體" w:hint="eastAsia"/>
          <w:sz w:val="32"/>
        </w:rPr>
        <w:t>第</w:t>
      </w:r>
      <w:r>
        <w:rPr>
          <w:rFonts w:eastAsia="標楷體" w:hint="eastAsia"/>
          <w:sz w:val="32"/>
        </w:rPr>
        <w:t xml:space="preserve"> </w:t>
      </w:r>
      <w:r w:rsidR="00BC1AF2">
        <w:rPr>
          <w:rFonts w:eastAsia="標楷體" w:hint="eastAsia"/>
          <w:sz w:val="32"/>
        </w:rPr>
        <w:t>九</w:t>
      </w:r>
      <w:r>
        <w:rPr>
          <w:rFonts w:eastAsia="標楷體" w:hint="eastAsia"/>
          <w:sz w:val="32"/>
        </w:rPr>
        <w:t xml:space="preserve"> </w:t>
      </w:r>
      <w:r>
        <w:rPr>
          <w:rFonts w:eastAsia="標楷體" w:hint="eastAsia"/>
          <w:sz w:val="32"/>
        </w:rPr>
        <w:t>條</w:t>
      </w:r>
      <w:r>
        <w:rPr>
          <w:rFonts w:eastAsia="標楷體" w:hint="eastAsia"/>
          <w:sz w:val="32"/>
        </w:rPr>
        <w:t xml:space="preserve">    </w:t>
      </w:r>
      <w:r w:rsidR="00F026D6" w:rsidRPr="00F026D6">
        <w:rPr>
          <w:rFonts w:eastAsia="標楷體" w:hint="eastAsia"/>
          <w:sz w:val="32"/>
        </w:rPr>
        <w:t>本辦法自發布日施行。</w:t>
      </w:r>
    </w:p>
    <w:sectPr w:rsidR="00033BB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9C" w:rsidRDefault="0086349C" w:rsidP="00AB229E">
      <w:r>
        <w:separator/>
      </w:r>
    </w:p>
  </w:endnote>
  <w:endnote w:type="continuationSeparator" w:id="0">
    <w:p w:rsidR="0086349C" w:rsidRDefault="0086349C" w:rsidP="00AB22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9C" w:rsidRDefault="0086349C" w:rsidP="00AB229E">
      <w:r>
        <w:separator/>
      </w:r>
    </w:p>
  </w:footnote>
  <w:footnote w:type="continuationSeparator" w:id="0">
    <w:p w:rsidR="0086349C" w:rsidRDefault="0086349C" w:rsidP="00AB2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D6BF3"/>
    <w:multiLevelType w:val="hybridMultilevel"/>
    <w:tmpl w:val="4D9AA66C"/>
    <w:lvl w:ilvl="0" w:tplc="04090001">
      <w:start w:val="1"/>
      <w:numFmt w:val="bullet"/>
      <w:lvlText w:val=""/>
      <w:lvlJc w:val="left"/>
      <w:pPr>
        <w:tabs>
          <w:tab w:val="num" w:pos="2047"/>
        </w:tabs>
        <w:ind w:left="2047" w:hanging="480"/>
      </w:pPr>
      <w:rPr>
        <w:rFonts w:ascii="Wingdings" w:hAnsi="Wingdings" w:hint="default"/>
      </w:rPr>
    </w:lvl>
    <w:lvl w:ilvl="1" w:tplc="04090003" w:tentative="1">
      <w:start w:val="1"/>
      <w:numFmt w:val="bullet"/>
      <w:lvlText w:val=""/>
      <w:lvlJc w:val="left"/>
      <w:pPr>
        <w:tabs>
          <w:tab w:val="num" w:pos="2527"/>
        </w:tabs>
        <w:ind w:left="2527" w:hanging="480"/>
      </w:pPr>
      <w:rPr>
        <w:rFonts w:ascii="Wingdings" w:hAnsi="Wingdings" w:hint="default"/>
      </w:rPr>
    </w:lvl>
    <w:lvl w:ilvl="2" w:tplc="04090005" w:tentative="1">
      <w:start w:val="1"/>
      <w:numFmt w:val="bullet"/>
      <w:lvlText w:val=""/>
      <w:lvlJc w:val="left"/>
      <w:pPr>
        <w:tabs>
          <w:tab w:val="num" w:pos="3007"/>
        </w:tabs>
        <w:ind w:left="3007" w:hanging="480"/>
      </w:pPr>
      <w:rPr>
        <w:rFonts w:ascii="Wingdings" w:hAnsi="Wingdings" w:hint="default"/>
      </w:rPr>
    </w:lvl>
    <w:lvl w:ilvl="3" w:tplc="04090001" w:tentative="1">
      <w:start w:val="1"/>
      <w:numFmt w:val="bullet"/>
      <w:lvlText w:val=""/>
      <w:lvlJc w:val="left"/>
      <w:pPr>
        <w:tabs>
          <w:tab w:val="num" w:pos="3487"/>
        </w:tabs>
        <w:ind w:left="3487" w:hanging="480"/>
      </w:pPr>
      <w:rPr>
        <w:rFonts w:ascii="Wingdings" w:hAnsi="Wingdings" w:hint="default"/>
      </w:rPr>
    </w:lvl>
    <w:lvl w:ilvl="4" w:tplc="04090003" w:tentative="1">
      <w:start w:val="1"/>
      <w:numFmt w:val="bullet"/>
      <w:lvlText w:val=""/>
      <w:lvlJc w:val="left"/>
      <w:pPr>
        <w:tabs>
          <w:tab w:val="num" w:pos="3967"/>
        </w:tabs>
        <w:ind w:left="3967" w:hanging="480"/>
      </w:pPr>
      <w:rPr>
        <w:rFonts w:ascii="Wingdings" w:hAnsi="Wingdings" w:hint="default"/>
      </w:rPr>
    </w:lvl>
    <w:lvl w:ilvl="5" w:tplc="04090005" w:tentative="1">
      <w:start w:val="1"/>
      <w:numFmt w:val="bullet"/>
      <w:lvlText w:val=""/>
      <w:lvlJc w:val="left"/>
      <w:pPr>
        <w:tabs>
          <w:tab w:val="num" w:pos="4447"/>
        </w:tabs>
        <w:ind w:left="4447" w:hanging="480"/>
      </w:pPr>
      <w:rPr>
        <w:rFonts w:ascii="Wingdings" w:hAnsi="Wingdings" w:hint="default"/>
      </w:rPr>
    </w:lvl>
    <w:lvl w:ilvl="6" w:tplc="04090001" w:tentative="1">
      <w:start w:val="1"/>
      <w:numFmt w:val="bullet"/>
      <w:lvlText w:val=""/>
      <w:lvlJc w:val="left"/>
      <w:pPr>
        <w:tabs>
          <w:tab w:val="num" w:pos="4927"/>
        </w:tabs>
        <w:ind w:left="4927" w:hanging="480"/>
      </w:pPr>
      <w:rPr>
        <w:rFonts w:ascii="Wingdings" w:hAnsi="Wingdings" w:hint="default"/>
      </w:rPr>
    </w:lvl>
    <w:lvl w:ilvl="7" w:tplc="04090003" w:tentative="1">
      <w:start w:val="1"/>
      <w:numFmt w:val="bullet"/>
      <w:lvlText w:val=""/>
      <w:lvlJc w:val="left"/>
      <w:pPr>
        <w:tabs>
          <w:tab w:val="num" w:pos="5407"/>
        </w:tabs>
        <w:ind w:left="5407" w:hanging="480"/>
      </w:pPr>
      <w:rPr>
        <w:rFonts w:ascii="Wingdings" w:hAnsi="Wingdings" w:hint="default"/>
      </w:rPr>
    </w:lvl>
    <w:lvl w:ilvl="8" w:tplc="04090005" w:tentative="1">
      <w:start w:val="1"/>
      <w:numFmt w:val="bullet"/>
      <w:lvlText w:val=""/>
      <w:lvlJc w:val="left"/>
      <w:pPr>
        <w:tabs>
          <w:tab w:val="num" w:pos="5887"/>
        </w:tabs>
        <w:ind w:left="5887" w:hanging="480"/>
      </w:pPr>
      <w:rPr>
        <w:rFonts w:ascii="Wingdings" w:hAnsi="Wingdings" w:hint="default"/>
      </w:rPr>
    </w:lvl>
  </w:abstractNum>
  <w:abstractNum w:abstractNumId="1">
    <w:nsid w:val="6F8F1E11"/>
    <w:multiLevelType w:val="hybridMultilevel"/>
    <w:tmpl w:val="5A3AC2FA"/>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840"/>
    <w:rsid w:val="00033BB3"/>
    <w:rsid w:val="000D1344"/>
    <w:rsid w:val="002A3710"/>
    <w:rsid w:val="00316910"/>
    <w:rsid w:val="00480CEC"/>
    <w:rsid w:val="005C604C"/>
    <w:rsid w:val="006F3205"/>
    <w:rsid w:val="0086349C"/>
    <w:rsid w:val="008953F7"/>
    <w:rsid w:val="008B61BD"/>
    <w:rsid w:val="009217D4"/>
    <w:rsid w:val="00940701"/>
    <w:rsid w:val="00997C45"/>
    <w:rsid w:val="00A3748F"/>
    <w:rsid w:val="00A505DA"/>
    <w:rsid w:val="00AB229E"/>
    <w:rsid w:val="00B446D8"/>
    <w:rsid w:val="00B55840"/>
    <w:rsid w:val="00BB25D9"/>
    <w:rsid w:val="00BC1AF2"/>
    <w:rsid w:val="00D84CA4"/>
    <w:rsid w:val="00DA3E89"/>
    <w:rsid w:val="00E329BA"/>
    <w:rsid w:val="00E43D2E"/>
    <w:rsid w:val="00F026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660" w:hangingChars="300" w:hanging="660"/>
      <w:jc w:val="both"/>
    </w:pPr>
    <w:rPr>
      <w:sz w:val="22"/>
    </w:rPr>
  </w:style>
  <w:style w:type="paragraph" w:styleId="a4">
    <w:name w:val="header"/>
    <w:basedOn w:val="a"/>
    <w:link w:val="a5"/>
    <w:uiPriority w:val="99"/>
    <w:unhideWhenUsed/>
    <w:rsid w:val="00AB229E"/>
    <w:pPr>
      <w:tabs>
        <w:tab w:val="center" w:pos="4153"/>
        <w:tab w:val="right" w:pos="8306"/>
      </w:tabs>
      <w:snapToGrid w:val="0"/>
    </w:pPr>
    <w:rPr>
      <w:sz w:val="20"/>
      <w:szCs w:val="20"/>
    </w:rPr>
  </w:style>
  <w:style w:type="character" w:customStyle="1" w:styleId="a5">
    <w:name w:val="頁首 字元"/>
    <w:link w:val="a4"/>
    <w:uiPriority w:val="99"/>
    <w:rsid w:val="00AB229E"/>
    <w:rPr>
      <w:kern w:val="2"/>
    </w:rPr>
  </w:style>
  <w:style w:type="paragraph" w:styleId="a6">
    <w:name w:val="footer"/>
    <w:basedOn w:val="a"/>
    <w:link w:val="a7"/>
    <w:uiPriority w:val="99"/>
    <w:unhideWhenUsed/>
    <w:rsid w:val="00AB229E"/>
    <w:pPr>
      <w:tabs>
        <w:tab w:val="center" w:pos="4153"/>
        <w:tab w:val="right" w:pos="8306"/>
      </w:tabs>
      <w:snapToGrid w:val="0"/>
    </w:pPr>
    <w:rPr>
      <w:sz w:val="20"/>
      <w:szCs w:val="20"/>
    </w:rPr>
  </w:style>
  <w:style w:type="character" w:customStyle="1" w:styleId="a7">
    <w:name w:val="頁尾 字元"/>
    <w:link w:val="a6"/>
    <w:uiPriority w:val="99"/>
    <w:rsid w:val="00AB229E"/>
    <w:rPr>
      <w:kern w:val="2"/>
    </w:rPr>
  </w:style>
  <w:style w:type="paragraph" w:styleId="a8">
    <w:name w:val="Balloon Text"/>
    <w:basedOn w:val="a"/>
    <w:link w:val="a9"/>
    <w:uiPriority w:val="99"/>
    <w:semiHidden/>
    <w:unhideWhenUsed/>
    <w:rsid w:val="00AB229E"/>
    <w:rPr>
      <w:rFonts w:ascii="Cambria" w:hAnsi="Cambria"/>
      <w:sz w:val="18"/>
      <w:szCs w:val="18"/>
    </w:rPr>
  </w:style>
  <w:style w:type="character" w:customStyle="1" w:styleId="a9">
    <w:name w:val="註解方塊文字 字元"/>
    <w:link w:val="a8"/>
    <w:uiPriority w:val="99"/>
    <w:semiHidden/>
    <w:rsid w:val="00AB229E"/>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1314</Characters>
  <Application>Microsoft Office Word</Application>
  <DocSecurity>0</DocSecurity>
  <Lines>10</Lines>
  <Paragraphs>3</Paragraphs>
  <ScaleCrop>false</ScaleCrop>
  <Company>COA</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法規條文格式</dc:title>
  <dc:creator>LA6027</dc:creator>
  <cp:lastModifiedBy>USER</cp:lastModifiedBy>
  <cp:revision>2</cp:revision>
  <cp:lastPrinted>2015-03-23T08:30:00Z</cp:lastPrinted>
  <dcterms:created xsi:type="dcterms:W3CDTF">2016-01-07T08:01:00Z</dcterms:created>
  <dcterms:modified xsi:type="dcterms:W3CDTF">2016-01-07T08:01:00Z</dcterms:modified>
</cp:coreProperties>
</file>